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E46E6" w14:textId="77777777" w:rsidR="003D3821" w:rsidRPr="009B0CBB" w:rsidRDefault="003D3821" w:rsidP="003D3821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482BB46" w14:textId="77777777" w:rsidR="003D3821" w:rsidRPr="009B0CBB" w:rsidRDefault="003D3821" w:rsidP="003D3821">
      <w:pPr>
        <w:tabs>
          <w:tab w:val="left" w:pos="5387"/>
        </w:tabs>
        <w:spacing w:line="276" w:lineRule="auto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  <w:t xml:space="preserve">Číslo spisu: </w:t>
      </w:r>
      <w:r w:rsidRPr="009B0CBB">
        <w:rPr>
          <w:rFonts w:ascii="Cambria" w:hAnsi="Cambria" w:cs="Arial"/>
          <w:b/>
          <w:bCs/>
          <w:sz w:val="22"/>
          <w:szCs w:val="22"/>
        </w:rPr>
        <w:t>NBS1-000-096-859</w:t>
      </w:r>
    </w:p>
    <w:p w14:paraId="46573E7A" w14:textId="78E41F0E" w:rsidR="003D3821" w:rsidRPr="009B0CBB" w:rsidRDefault="003D3821" w:rsidP="003D3821">
      <w:pPr>
        <w:tabs>
          <w:tab w:val="left" w:pos="5387"/>
        </w:tabs>
        <w:spacing w:line="276" w:lineRule="auto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ab/>
      </w:r>
      <w:r w:rsidRPr="009B0CBB">
        <w:rPr>
          <w:rFonts w:ascii="Cambria" w:hAnsi="Cambria" w:cs="Arial"/>
          <w:sz w:val="22"/>
          <w:szCs w:val="22"/>
        </w:rPr>
        <w:t xml:space="preserve">Záznam číslo: </w:t>
      </w:r>
      <w:r w:rsidRPr="009B0CBB">
        <w:rPr>
          <w:rFonts w:ascii="Cambria" w:hAnsi="Cambria" w:cs="Arial"/>
          <w:b/>
          <w:bCs/>
          <w:sz w:val="22"/>
          <w:szCs w:val="22"/>
        </w:rPr>
        <w:t>100-000-702-0</w:t>
      </w:r>
      <w:r>
        <w:rPr>
          <w:rFonts w:ascii="Cambria" w:hAnsi="Cambria" w:cs="Arial"/>
          <w:b/>
          <w:bCs/>
          <w:sz w:val="22"/>
          <w:szCs w:val="22"/>
        </w:rPr>
        <w:t>10</w:t>
      </w:r>
      <w:r w:rsidRPr="009B0CBB">
        <w:rPr>
          <w:rFonts w:ascii="Cambria" w:hAnsi="Cambria" w:cs="Arial"/>
          <w:sz w:val="22"/>
          <w:szCs w:val="22"/>
        </w:rPr>
        <w:tab/>
      </w:r>
    </w:p>
    <w:p w14:paraId="1C04A431" w14:textId="77777777" w:rsidR="003D3821" w:rsidRPr="009B0CBB" w:rsidRDefault="003D3821" w:rsidP="003D3821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791BA56B" w14:textId="77777777" w:rsidR="003D3821" w:rsidRPr="009B0CBB" w:rsidRDefault="003D3821" w:rsidP="003D382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ZÁPISNICA Z OTVÁRANIA PONÚK</w:t>
      </w:r>
    </w:p>
    <w:p w14:paraId="34A5EDDC" w14:textId="77777777" w:rsidR="003D3821" w:rsidRPr="009B0CBB" w:rsidRDefault="003D3821" w:rsidP="003D3821">
      <w:pPr>
        <w:pStyle w:val="Default"/>
        <w:spacing w:after="60"/>
        <w:jc w:val="both"/>
        <w:rPr>
          <w:rFonts w:ascii="Cambria" w:hAnsi="Cambria" w:cs="Arial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3D3821" w:rsidRPr="009B0CBB" w14:paraId="70DBE4EB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5CA2F1A7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Názov verejného obstarávateľa:</w:t>
            </w:r>
          </w:p>
        </w:tc>
        <w:tc>
          <w:tcPr>
            <w:tcW w:w="4466" w:type="dxa"/>
            <w:shd w:val="clear" w:color="auto" w:fill="auto"/>
          </w:tcPr>
          <w:p w14:paraId="721D809C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Národná banka Slovenska</w:t>
            </w:r>
          </w:p>
        </w:tc>
      </w:tr>
      <w:tr w:rsidR="003D3821" w:rsidRPr="009B0CBB" w14:paraId="4B29D4AF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3EE9FC23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Sídlo verejného obstarávateľa:</w:t>
            </w:r>
          </w:p>
        </w:tc>
        <w:tc>
          <w:tcPr>
            <w:tcW w:w="4466" w:type="dxa"/>
            <w:shd w:val="clear" w:color="auto" w:fill="auto"/>
          </w:tcPr>
          <w:p w14:paraId="317AB2CB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Imricha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Karvaša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1, 813 25 Bratislava</w:t>
            </w:r>
          </w:p>
        </w:tc>
      </w:tr>
      <w:tr w:rsidR="003D3821" w:rsidRPr="009B0CBB" w14:paraId="71C9A0BC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1ED12D98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Predmet / názov zákazky:</w:t>
            </w:r>
          </w:p>
        </w:tc>
        <w:tc>
          <w:tcPr>
            <w:tcW w:w="4466" w:type="dxa"/>
            <w:shd w:val="clear" w:color="auto" w:fill="auto"/>
          </w:tcPr>
          <w:p w14:paraId="59CEE8E6" w14:textId="28E86B36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Organizácia podujatia EFA 2024 –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European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Finance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Association, 51st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Annual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Meeting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21. - 24. August 2024 – </w:t>
            </w:r>
            <w:r w:rsidR="00A32B8A">
              <w:rPr>
                <w:rFonts w:ascii="Cambria" w:hAnsi="Cambria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ečerná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časť</w:t>
            </w:r>
          </w:p>
        </w:tc>
      </w:tr>
      <w:tr w:rsidR="003D3821" w:rsidRPr="009B0CBB" w14:paraId="7C69D671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5F283CB0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Postup verejného obstarávania:</w:t>
            </w:r>
          </w:p>
        </w:tc>
        <w:tc>
          <w:tcPr>
            <w:tcW w:w="4466" w:type="dxa"/>
            <w:shd w:val="clear" w:color="auto" w:fill="auto"/>
          </w:tcPr>
          <w:p w14:paraId="25AD1776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iCs/>
                <w:sz w:val="22"/>
                <w:szCs w:val="22"/>
              </w:rPr>
              <w:t xml:space="preserve">Nadlimitná zákazka, § 66 </w:t>
            </w:r>
            <w:r w:rsidRPr="009B0CBB">
              <w:rPr>
                <w:rFonts w:ascii="Cambria" w:hAnsi="Cambria" w:cs="Arial"/>
                <w:sz w:val="22"/>
                <w:szCs w:val="22"/>
              </w:rPr>
              <w:t>zákona č. 343/2015 Z. z. o verejnom obstarávaní a o zmene a doplnení niektorých zákonov v znení neskorších predpisov (ďalej len „ZVO“)</w:t>
            </w:r>
            <w:r>
              <w:rPr>
                <w:rFonts w:ascii="Cambria" w:hAnsi="Cambria" w:cs="Arial"/>
                <w:sz w:val="22"/>
                <w:szCs w:val="22"/>
              </w:rPr>
              <w:t>,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postupom podľa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§ 66 ods. 7 písm. b)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ZVO</w:t>
            </w:r>
          </w:p>
        </w:tc>
      </w:tr>
      <w:tr w:rsidR="003D3821" w:rsidRPr="009B0CBB" w14:paraId="6092821E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03549F52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Legislatívny rámec:</w:t>
            </w:r>
          </w:p>
        </w:tc>
        <w:tc>
          <w:tcPr>
            <w:tcW w:w="4466" w:type="dxa"/>
            <w:shd w:val="clear" w:color="auto" w:fill="auto"/>
          </w:tcPr>
          <w:p w14:paraId="6070C06A" w14:textId="77777777" w:rsidR="003D3821" w:rsidRPr="009B0CBB" w:rsidRDefault="003D3821" w:rsidP="00EB1C98">
            <w:pPr>
              <w:pStyle w:val="Default"/>
              <w:spacing w:before="60" w:after="60"/>
              <w:jc w:val="both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§ 52 zákona o verejnom obstarávaní</w:t>
            </w:r>
          </w:p>
        </w:tc>
      </w:tr>
      <w:tr w:rsidR="003D3821" w:rsidRPr="009B0CBB" w14:paraId="0FEF4D77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6F96A10C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Označenie </w:t>
            </w:r>
            <w:r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v Úradnom vestníku EÚ a 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vo Vestníku VO vedeného ÚVO:</w:t>
            </w:r>
          </w:p>
        </w:tc>
        <w:tc>
          <w:tcPr>
            <w:tcW w:w="4466" w:type="dxa"/>
            <w:shd w:val="clear" w:color="auto" w:fill="auto"/>
          </w:tcPr>
          <w:p w14:paraId="00AD35A3" w14:textId="77777777" w:rsidR="003D3821" w:rsidRPr="009B0CBB" w:rsidRDefault="003D3821" w:rsidP="00EB1C98">
            <w:pPr>
              <w:pStyle w:val="Default"/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  <w:lang w:eastAsia="sk-SK"/>
              </w:rPr>
              <w:t xml:space="preserve">Oznámenie o vyhlásení verejného obstarávania v Úradnom vestníku EÚ č.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75/2024 </w:t>
            </w:r>
            <w:r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zo dňa 16.04.2024 pod číslom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224501-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2024 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a vo Vestníku verejného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obstarávania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75/2024 zo dňa 17.04.2024 pod číslom 10503-MSS</w:t>
            </w:r>
          </w:p>
        </w:tc>
      </w:tr>
      <w:tr w:rsidR="003D3821" w:rsidRPr="009B0CBB" w14:paraId="024C1180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6A7B77E4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Lehota na predkladanie ponúk:</w:t>
            </w:r>
          </w:p>
        </w:tc>
        <w:tc>
          <w:tcPr>
            <w:tcW w:w="4466" w:type="dxa"/>
            <w:shd w:val="clear" w:color="auto" w:fill="auto"/>
          </w:tcPr>
          <w:p w14:paraId="1DB34ADF" w14:textId="77777777" w:rsidR="003D3821" w:rsidRPr="009B0CBB" w:rsidRDefault="003D3821" w:rsidP="00EB1C98">
            <w:pPr>
              <w:pStyle w:val="Default"/>
              <w:spacing w:before="60" w:after="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10.05.2024, 10:00 hod.</w:t>
            </w:r>
          </w:p>
        </w:tc>
      </w:tr>
      <w:tr w:rsidR="003D3821" w:rsidRPr="009B0CBB" w14:paraId="71BD1B12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3B480FBA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Miesto zasadania zúčastnených osôb:</w:t>
            </w:r>
          </w:p>
        </w:tc>
        <w:tc>
          <w:tcPr>
            <w:tcW w:w="4466" w:type="dxa"/>
            <w:shd w:val="clear" w:color="auto" w:fill="auto"/>
          </w:tcPr>
          <w:p w14:paraId="56901D33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bCs/>
                <w:noProof/>
                <w:sz w:val="22"/>
                <w:szCs w:val="22"/>
              </w:rPr>
              <w:t>On-line prostredníctvom aplikácie MS Teams</w:t>
            </w:r>
          </w:p>
        </w:tc>
      </w:tr>
      <w:tr w:rsidR="003D3821" w:rsidRPr="009B0CBB" w14:paraId="1A8315B6" w14:textId="77777777" w:rsidTr="00EB1C98">
        <w:trPr>
          <w:trHeight w:val="340"/>
        </w:trPr>
        <w:tc>
          <w:tcPr>
            <w:tcW w:w="4606" w:type="dxa"/>
            <w:shd w:val="clear" w:color="auto" w:fill="auto"/>
          </w:tcPr>
          <w:p w14:paraId="7EC470CE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Dátum a čas zasadania zúčastnených osôb:</w:t>
            </w:r>
          </w:p>
        </w:tc>
        <w:tc>
          <w:tcPr>
            <w:tcW w:w="4466" w:type="dxa"/>
            <w:shd w:val="clear" w:color="auto" w:fill="auto"/>
          </w:tcPr>
          <w:p w14:paraId="512884FF" w14:textId="77777777" w:rsidR="003D3821" w:rsidRPr="009B0CBB" w:rsidRDefault="003D3821" w:rsidP="00EB1C98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10.05.2024, od 10:00 hod.</w:t>
            </w:r>
          </w:p>
        </w:tc>
      </w:tr>
    </w:tbl>
    <w:p w14:paraId="31E4B040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2D4A4584" w14:textId="3E5A998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Otváranie ponúk sa uskutočnilo on-line sprístupnením ponúk v systéme JOSEPHINE o 11:10 hod. K časovému posunu oproti termínu uvedené</w:t>
      </w:r>
      <w:r w:rsidR="006109CF">
        <w:rPr>
          <w:rFonts w:ascii="Cambria" w:hAnsi="Cambria" w:cs="Arial"/>
          <w:sz w:val="22"/>
          <w:szCs w:val="22"/>
        </w:rPr>
        <w:t>mu</w:t>
      </w:r>
      <w:r w:rsidRPr="009B0CBB">
        <w:rPr>
          <w:rFonts w:ascii="Cambria" w:hAnsi="Cambria" w:cs="Arial"/>
          <w:sz w:val="22"/>
          <w:szCs w:val="22"/>
        </w:rPr>
        <w:t xml:space="preserve"> v oznámení o vyhlásení verejného obstarávania došlo z dôvodu vzniknutej potreby technickej úpravy oprávnení v systéme JOSEPHINE pre administrátora zákazky.</w:t>
      </w:r>
    </w:p>
    <w:p w14:paraId="1559B09F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2CD98B2B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 xml:space="preserve">V zmysle súťažných podkladov boli ponuky predkladané vo dvoch oddelených častiach – „Koncept“ a „Všeobecná časť“, pričom otváranie prebehlo vo vzťahu k prvej zmieňovanej časti. Vzhľadom na sledovaný cieľ, ktorým je nezávislé a objektívne hodnotenie kvalitatívnych kritérií odbornou komisiou, od uchádzačov bola vyžadovaná </w:t>
      </w:r>
      <w:proofErr w:type="spellStart"/>
      <w:r w:rsidRPr="009B0CBB">
        <w:rPr>
          <w:rFonts w:ascii="Cambria" w:hAnsi="Cambria" w:cs="Arial"/>
          <w:sz w:val="22"/>
          <w:szCs w:val="22"/>
        </w:rPr>
        <w:t>anonymizácia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 tejto časti ponúk tak, aby nebolo možné identifikovať uchádzača. Nakoľko však nebolo možné vylúčiť situáciu, že niektoré ponuky nebudú (úplne) anonymizované, bolo potrebné vopred prijať opatrenie na zamedzenie vzniku situácie, v ktorej by sa členovia hodnotiacej komisie oboznámili s takýmito ponukami, resp. situácie, v ktorej by musel byť uchádzač z tohto dôvodu vylúčený. Na základe toho bol zvolený postup, v ktorom sa otvárania ponúk zúčastnia členovia komisie bez práva vyhodnocovať (ako osoby zodpovedné za procesnú stránku verejného obstarávania) a tajomník komisie (ako osoba zodpovedná za technickú podporu komisie a vykonanie prípadných </w:t>
      </w:r>
      <w:proofErr w:type="spellStart"/>
      <w:r w:rsidRPr="009B0CBB">
        <w:rPr>
          <w:rFonts w:ascii="Cambria" w:hAnsi="Cambria" w:cs="Arial"/>
          <w:sz w:val="22"/>
          <w:szCs w:val="22"/>
        </w:rPr>
        <w:t>anonymizačných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 opatrení). </w:t>
      </w:r>
    </w:p>
    <w:p w14:paraId="30BCCE6F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lastRenderedPageBreak/>
        <w:t xml:space="preserve">Otvorené ponuky boli uvedenými osobami skontrolované, pričom niektoré z nich si vyžiadali dodatočnú </w:t>
      </w:r>
      <w:proofErr w:type="spellStart"/>
      <w:r w:rsidRPr="009B0CBB">
        <w:rPr>
          <w:rFonts w:ascii="Cambria" w:hAnsi="Cambria" w:cs="Arial"/>
          <w:sz w:val="22"/>
          <w:szCs w:val="22"/>
        </w:rPr>
        <w:t>anonymizáciu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. Až následne boli ponuky predložené členom komisie s právom vyhodnocovať ponuky. </w:t>
      </w:r>
    </w:p>
    <w:p w14:paraId="56483BAF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2C268DBB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Jedna z  ponúk </w:t>
      </w:r>
      <w:r w:rsidRPr="009B0CBB">
        <w:rPr>
          <w:rFonts w:ascii="Cambria" w:hAnsi="Cambria" w:cs="Arial"/>
          <w:sz w:val="22"/>
          <w:szCs w:val="22"/>
        </w:rPr>
        <w:t xml:space="preserve">bola predložená po uplynutí lehoty na predkladanie ponúk, </w:t>
      </w:r>
      <w:r>
        <w:rPr>
          <w:rFonts w:ascii="Cambria" w:hAnsi="Cambria" w:cs="Arial"/>
          <w:sz w:val="22"/>
          <w:szCs w:val="22"/>
        </w:rPr>
        <w:t xml:space="preserve">pričom </w:t>
      </w:r>
      <w:r w:rsidRPr="009B0CBB">
        <w:rPr>
          <w:rFonts w:ascii="Cambria" w:hAnsi="Cambria" w:cs="Arial"/>
          <w:sz w:val="22"/>
          <w:szCs w:val="22"/>
        </w:rPr>
        <w:t>v súlade s § 49 ods. 3 písm. a) ZVO</w:t>
      </w:r>
      <w:r>
        <w:rPr>
          <w:rFonts w:ascii="Cambria" w:hAnsi="Cambria" w:cs="Arial"/>
          <w:sz w:val="22"/>
          <w:szCs w:val="22"/>
        </w:rPr>
        <w:t xml:space="preserve"> </w:t>
      </w:r>
      <w:r w:rsidRPr="009B0CBB">
        <w:rPr>
          <w:rFonts w:ascii="Cambria" w:hAnsi="Cambria" w:cs="Arial"/>
          <w:sz w:val="22"/>
          <w:szCs w:val="22"/>
        </w:rPr>
        <w:t xml:space="preserve">nebola sprístupnená. </w:t>
      </w:r>
    </w:p>
    <w:p w14:paraId="5E17FAA6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58F7A997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Podľa § 52 ods. 2 druhá veta ZVO platí, že 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</w:p>
    <w:p w14:paraId="3031E64A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055C75F6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Vzhľadom na to, že návrhy na plnenie kritérií, ktoré sa dajú vyjadriť číslom (čo je v prípade tohto verejného obstarávania cena), neboli obsahom otváranej časti ponúk, informácie o ponukách uchádzačov sú v tomto štádiu v súlade s citovaným ustanovením ZVO obmedzené na informáciu o počte predložených ponúk.</w:t>
      </w:r>
    </w:p>
    <w:p w14:paraId="47260003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17DB3BEC" w14:textId="2357DF7F" w:rsidR="003D3821" w:rsidRPr="009B0CBB" w:rsidRDefault="003D3821" w:rsidP="003D3821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B0CBB">
        <w:rPr>
          <w:rFonts w:ascii="Cambria" w:hAnsi="Cambria" w:cs="Arial"/>
          <w:b/>
          <w:bCs/>
        </w:rPr>
        <w:t xml:space="preserve">Počet predložených ponúk: </w:t>
      </w:r>
      <w:r>
        <w:rPr>
          <w:rFonts w:ascii="Cambria" w:hAnsi="Cambria" w:cs="Arial"/>
          <w:b/>
          <w:bCs/>
        </w:rPr>
        <w:t>8</w:t>
      </w:r>
      <w:r w:rsidRPr="009B0CBB">
        <w:rPr>
          <w:rFonts w:ascii="Cambria" w:hAnsi="Cambria" w:cs="Arial"/>
          <w:b/>
          <w:bCs/>
        </w:rPr>
        <w:t xml:space="preserve">, </w:t>
      </w:r>
      <w:r w:rsidRPr="009B0CBB">
        <w:rPr>
          <w:rFonts w:ascii="Cambria" w:hAnsi="Cambria" w:cs="Arial"/>
        </w:rPr>
        <w:t>z toho 1 ponuka bola predložená po uplynutí lehoty na predkladanie ponúk</w:t>
      </w:r>
    </w:p>
    <w:p w14:paraId="5096957D" w14:textId="77777777" w:rsidR="003D3821" w:rsidRPr="009B0CBB" w:rsidRDefault="003D3821" w:rsidP="003D3821">
      <w:pPr>
        <w:jc w:val="both"/>
        <w:rPr>
          <w:rFonts w:ascii="Cambria" w:hAnsi="Cambria" w:cs="Arial"/>
          <w:b/>
          <w:bCs/>
        </w:rPr>
      </w:pPr>
    </w:p>
    <w:p w14:paraId="3BF1C490" w14:textId="77777777" w:rsidR="003D3821" w:rsidRPr="009B0CBB" w:rsidRDefault="003D3821" w:rsidP="003D3821">
      <w:pPr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 w:cs="Arial"/>
          <w:b/>
          <w:bCs/>
        </w:rPr>
      </w:pPr>
      <w:r w:rsidRPr="009B0CBB">
        <w:rPr>
          <w:rFonts w:ascii="Cambria" w:hAnsi="Cambria" w:cs="Arial"/>
          <w:b/>
          <w:bCs/>
        </w:rPr>
        <w:t>Návrhy na plnenie kritérií:</w:t>
      </w:r>
    </w:p>
    <w:p w14:paraId="450E8E38" w14:textId="77777777" w:rsidR="003D3821" w:rsidRPr="009B0CBB" w:rsidRDefault="003D3821" w:rsidP="003D3821">
      <w:pPr>
        <w:spacing w:after="120"/>
        <w:ind w:firstLine="708"/>
        <w:jc w:val="both"/>
        <w:rPr>
          <w:rFonts w:ascii="Cambria" w:hAnsi="Cambria" w:cs="Arial"/>
        </w:rPr>
      </w:pPr>
      <w:r w:rsidRPr="009B0CBB">
        <w:rPr>
          <w:rFonts w:ascii="Cambria" w:hAnsi="Cambria" w:cs="Arial"/>
        </w:rPr>
        <w:t>neuplatňuje sa</w:t>
      </w:r>
    </w:p>
    <w:p w14:paraId="5A72E63D" w14:textId="77777777" w:rsidR="003D3821" w:rsidRPr="009B0CBB" w:rsidRDefault="003D3821" w:rsidP="003D3821">
      <w:pPr>
        <w:jc w:val="both"/>
        <w:rPr>
          <w:rFonts w:ascii="Cambria" w:hAnsi="Cambria" w:cs="Arial"/>
          <w:bCs/>
          <w:sz w:val="22"/>
          <w:szCs w:val="22"/>
        </w:rPr>
      </w:pPr>
    </w:p>
    <w:p w14:paraId="04F7A195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Zúčastnené osoby nevzniesli námietku voči priebehu otvárania ponúk.</w:t>
      </w:r>
    </w:p>
    <w:p w14:paraId="2AFE886D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</w:p>
    <w:p w14:paraId="01C49964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Zúčastnené osoby vyhlasujú, že táto zápisnica zodpovedá skutočnosti.</w:t>
      </w:r>
    </w:p>
    <w:p w14:paraId="6E3D31FF" w14:textId="77777777" w:rsidR="003D3821" w:rsidRPr="009B0CBB" w:rsidRDefault="003D3821" w:rsidP="003D3821">
      <w:pPr>
        <w:jc w:val="both"/>
        <w:rPr>
          <w:rFonts w:ascii="Cambria" w:hAnsi="Cambria" w:cs="Arial"/>
          <w:sz w:val="22"/>
          <w:szCs w:val="22"/>
        </w:rPr>
      </w:pPr>
      <w:bookmarkStart w:id="0" w:name="_Hlk526508685"/>
    </w:p>
    <w:p w14:paraId="3CB3E4F9" w14:textId="77777777" w:rsidR="003D3821" w:rsidRPr="009B0CBB" w:rsidRDefault="003D3821" w:rsidP="003D3821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Zúčastnené osoby: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8114"/>
      </w:tblGrid>
      <w:tr w:rsidR="003D3821" w:rsidRPr="009B0CBB" w14:paraId="56862FB1" w14:textId="77777777" w:rsidTr="00EB1C98">
        <w:tc>
          <w:tcPr>
            <w:tcW w:w="675" w:type="dxa"/>
            <w:vAlign w:val="center"/>
            <w:hideMark/>
          </w:tcPr>
          <w:p w14:paraId="5C63ED10" w14:textId="77777777" w:rsidR="003D3821" w:rsidRPr="009B0CBB" w:rsidRDefault="003D3821" w:rsidP="00EB1C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1" w:name="_Hlk526508540"/>
            <w:bookmarkEnd w:id="0"/>
            <w:r w:rsidRPr="009B0CB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8114" w:type="dxa"/>
            <w:vAlign w:val="bottom"/>
            <w:hideMark/>
          </w:tcPr>
          <w:p w14:paraId="008A5908" w14:textId="77777777" w:rsidR="003D3821" w:rsidRPr="009B0CBB" w:rsidRDefault="003D3821" w:rsidP="00EB1C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Lucia Gašparová, zamestnanec NBS, člen komisie na vyhodnotenie ponúk bez práva vyhodnocovať</w:t>
            </w:r>
          </w:p>
        </w:tc>
      </w:tr>
      <w:tr w:rsidR="003D3821" w:rsidRPr="009B0CBB" w14:paraId="6E2DE13E" w14:textId="77777777" w:rsidTr="00EB1C98">
        <w:tc>
          <w:tcPr>
            <w:tcW w:w="675" w:type="dxa"/>
            <w:vAlign w:val="center"/>
            <w:hideMark/>
          </w:tcPr>
          <w:p w14:paraId="74E08472" w14:textId="77777777" w:rsidR="003D3821" w:rsidRPr="009B0CBB" w:rsidRDefault="003D3821" w:rsidP="00EB1C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8114" w:type="dxa"/>
            <w:vAlign w:val="bottom"/>
            <w:hideMark/>
          </w:tcPr>
          <w:p w14:paraId="64460B56" w14:textId="77777777" w:rsidR="003D3821" w:rsidRPr="009B0CBB" w:rsidRDefault="003D3821" w:rsidP="00EB1C98">
            <w:pPr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Ivan Holič, zamestnanec AGM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partners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s.r.o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>., člen komisie na vyhodnotenie ponúk bez práva vyhodnocovať</w:t>
            </w:r>
          </w:p>
        </w:tc>
      </w:tr>
      <w:tr w:rsidR="003D3821" w:rsidRPr="009B0CBB" w14:paraId="1D327467" w14:textId="77777777" w:rsidTr="00EB1C98">
        <w:tc>
          <w:tcPr>
            <w:tcW w:w="675" w:type="dxa"/>
            <w:vAlign w:val="center"/>
            <w:hideMark/>
          </w:tcPr>
          <w:p w14:paraId="71270327" w14:textId="77777777" w:rsidR="003D3821" w:rsidRPr="009B0CBB" w:rsidRDefault="003D3821" w:rsidP="00EB1C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8114" w:type="dxa"/>
            <w:vAlign w:val="bottom"/>
            <w:hideMark/>
          </w:tcPr>
          <w:p w14:paraId="00B0E449" w14:textId="77777777" w:rsidR="003D3821" w:rsidRPr="009B0CBB" w:rsidRDefault="003D3821" w:rsidP="00EB1C98">
            <w:pPr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Adrián Zvara, zamestnanec NBS, tajomník komisie na vyhodnotenie ponúk</w:t>
            </w:r>
          </w:p>
        </w:tc>
      </w:tr>
    </w:tbl>
    <w:bookmarkEnd w:id="1"/>
    <w:p w14:paraId="33A84985" w14:textId="77777777" w:rsidR="003D3821" w:rsidRPr="009B0CBB" w:rsidRDefault="003D3821" w:rsidP="003D3821">
      <w:pPr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  <w:t xml:space="preserve"> </w:t>
      </w:r>
    </w:p>
    <w:p w14:paraId="416EFB43" w14:textId="77777777" w:rsidR="00112927" w:rsidRDefault="00112927"/>
    <w:sectPr w:rsidR="00112927" w:rsidSect="003D382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07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B174C" w14:textId="77777777" w:rsidR="002B1F32" w:rsidRDefault="002B1F32">
      <w:r>
        <w:separator/>
      </w:r>
    </w:p>
  </w:endnote>
  <w:endnote w:type="continuationSeparator" w:id="0">
    <w:p w14:paraId="4DB56DFC" w14:textId="77777777" w:rsidR="002B1F32" w:rsidRDefault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FB5A" w14:textId="77777777" w:rsidR="008C5AF4" w:rsidRDefault="00000000" w:rsidP="006002E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14:paraId="6A9A6BC2" w14:textId="77777777" w:rsidR="008C5AF4" w:rsidRDefault="008C5A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400D" w14:textId="77777777" w:rsidR="008C5AF4" w:rsidRPr="009F2B74" w:rsidRDefault="00000000" w:rsidP="006002E0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20"/>
        <w:szCs w:val="20"/>
      </w:rPr>
    </w:pPr>
    <w:r w:rsidRPr="009F2B74">
      <w:rPr>
        <w:rStyle w:val="slostrany"/>
        <w:rFonts w:ascii="Arial" w:hAnsi="Arial" w:cs="Arial"/>
        <w:sz w:val="20"/>
        <w:szCs w:val="20"/>
      </w:rPr>
      <w:fldChar w:fldCharType="begin"/>
    </w:r>
    <w:r w:rsidRPr="009F2B74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9F2B74">
      <w:rPr>
        <w:rStyle w:val="slostrany"/>
        <w:rFonts w:ascii="Arial" w:hAnsi="Arial" w:cs="Arial"/>
        <w:sz w:val="20"/>
        <w:szCs w:val="20"/>
      </w:rPr>
      <w:fldChar w:fldCharType="separate"/>
    </w:r>
    <w:r>
      <w:rPr>
        <w:rStyle w:val="slostrany"/>
        <w:rFonts w:ascii="Arial" w:hAnsi="Arial" w:cs="Arial"/>
        <w:noProof/>
        <w:sz w:val="20"/>
        <w:szCs w:val="20"/>
      </w:rPr>
      <w:t>2</w:t>
    </w:r>
    <w:r w:rsidRPr="009F2B74">
      <w:rPr>
        <w:rStyle w:val="slostrany"/>
        <w:rFonts w:ascii="Arial" w:hAnsi="Arial" w:cs="Arial"/>
        <w:sz w:val="20"/>
        <w:szCs w:val="20"/>
      </w:rPr>
      <w:fldChar w:fldCharType="end"/>
    </w:r>
  </w:p>
  <w:p w14:paraId="30E41987" w14:textId="77777777" w:rsidR="008C5AF4" w:rsidRDefault="008C5A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0B19" w14:textId="77777777" w:rsidR="008C5AF4" w:rsidRPr="007C2FFA" w:rsidRDefault="00000000" w:rsidP="003E1C36">
    <w:pPr>
      <w:pStyle w:val="Pta"/>
      <w:jc w:val="center"/>
      <w:rPr>
        <w:rFonts w:ascii="Cambria" w:hAnsi="Cambria" w:cs="Arial"/>
        <w:sz w:val="20"/>
        <w:szCs w:val="20"/>
      </w:rPr>
    </w:pPr>
    <w:r w:rsidRPr="007C2FFA">
      <w:rPr>
        <w:rFonts w:ascii="Cambria" w:hAnsi="Cambria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9410" w14:textId="77777777" w:rsidR="002B1F32" w:rsidRDefault="002B1F32">
      <w:r>
        <w:separator/>
      </w:r>
    </w:p>
  </w:footnote>
  <w:footnote w:type="continuationSeparator" w:id="0">
    <w:p w14:paraId="576835B1" w14:textId="77777777" w:rsidR="002B1F32" w:rsidRDefault="002B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37D6" w14:textId="77777777" w:rsidR="008C5AF4" w:rsidRDefault="008C5AF4" w:rsidP="001D0DC3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4905" w14:textId="77777777" w:rsidR="008C5AF4" w:rsidRDefault="00000000" w:rsidP="007440FB">
    <w:pPr>
      <w:pStyle w:val="Hlavika"/>
      <w:jc w:val="center"/>
    </w:pPr>
    <w:r>
      <w:rPr>
        <w:noProof/>
      </w:rPr>
      <w:drawing>
        <wp:inline distT="0" distB="0" distL="0" distR="0" wp14:anchorId="30231D08" wp14:editId="4E1D80EA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211D5"/>
    <w:multiLevelType w:val="hybridMultilevel"/>
    <w:tmpl w:val="691E0E46"/>
    <w:lvl w:ilvl="0" w:tplc="DE7E0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8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21"/>
    <w:rsid w:val="00112927"/>
    <w:rsid w:val="002A691E"/>
    <w:rsid w:val="002B1F32"/>
    <w:rsid w:val="003D3821"/>
    <w:rsid w:val="006109CF"/>
    <w:rsid w:val="006C5045"/>
    <w:rsid w:val="008C5AF4"/>
    <w:rsid w:val="00A3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090"/>
  <w15:chartTrackingRefBased/>
  <w15:docId w15:val="{72AF9993-6C85-4BF0-9C76-20587CDB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3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D38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38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3D3821"/>
  </w:style>
  <w:style w:type="paragraph" w:styleId="Hlavika">
    <w:name w:val="header"/>
    <w:basedOn w:val="Normlny"/>
    <w:link w:val="HlavikaChar"/>
    <w:rsid w:val="003D3821"/>
    <w:pPr>
      <w:tabs>
        <w:tab w:val="center" w:pos="4153"/>
        <w:tab w:val="right" w:pos="8306"/>
      </w:tabs>
    </w:pPr>
    <w:rPr>
      <w:szCs w:val="20"/>
      <w:lang w:val="en-AU"/>
    </w:rPr>
  </w:style>
  <w:style w:type="character" w:customStyle="1" w:styleId="HlavikaChar">
    <w:name w:val="Hlavička Char"/>
    <w:basedOn w:val="Predvolenpsmoodseku"/>
    <w:link w:val="Hlavika"/>
    <w:rsid w:val="003D3821"/>
    <w:rPr>
      <w:rFonts w:ascii="Times New Roman" w:eastAsia="Times New Roman" w:hAnsi="Times New Roman" w:cs="Times New Roman"/>
      <w:sz w:val="24"/>
      <w:szCs w:val="20"/>
      <w:lang w:val="en-AU" w:eastAsia="sk-SK"/>
    </w:rPr>
  </w:style>
  <w:style w:type="paragraph" w:customStyle="1" w:styleId="Default">
    <w:name w:val="Default"/>
    <w:rsid w:val="003D3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3</cp:revision>
  <dcterms:created xsi:type="dcterms:W3CDTF">2024-05-14T15:19:00Z</dcterms:created>
  <dcterms:modified xsi:type="dcterms:W3CDTF">2024-05-14T17:02:00Z</dcterms:modified>
</cp:coreProperties>
</file>