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B1C4" w14:textId="77777777" w:rsidR="008F1E85" w:rsidRPr="00BE7EC2" w:rsidRDefault="008F1E85" w:rsidP="008F1E85">
      <w:pPr>
        <w:pStyle w:val="Zkladntext"/>
        <w:ind w:left="3305"/>
        <w:rPr>
          <w:rFonts w:ascii="Times New Roman"/>
          <w:sz w:val="20"/>
        </w:rPr>
      </w:pPr>
      <w:r w:rsidRPr="00BE7EC2">
        <w:rPr>
          <w:rFonts w:ascii="Times New Roman"/>
          <w:noProof/>
          <w:sz w:val="20"/>
        </w:rPr>
        <w:drawing>
          <wp:inline distT="0" distB="0" distL="0" distR="0" wp14:anchorId="0A546849" wp14:editId="633165A0">
            <wp:extent cx="1799791" cy="7085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79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9062" w14:textId="77777777" w:rsidR="008F1E85" w:rsidRPr="00BE7EC2" w:rsidRDefault="008F1E85" w:rsidP="008F1E85">
      <w:pPr>
        <w:pStyle w:val="Zkladntext"/>
        <w:spacing w:before="6"/>
        <w:rPr>
          <w:rFonts w:ascii="Times New Roman"/>
          <w:sz w:val="18"/>
        </w:rPr>
      </w:pPr>
    </w:p>
    <w:p w14:paraId="775ED3E5" w14:textId="77777777" w:rsidR="008F1E85" w:rsidRPr="00BE7EC2" w:rsidRDefault="008F1E85" w:rsidP="008F1E85">
      <w:pPr>
        <w:pStyle w:val="Zkladntext"/>
        <w:spacing w:before="101"/>
        <w:ind w:left="5589"/>
      </w:pPr>
      <w:r w:rsidRPr="00BE7EC2">
        <w:t>Číslo spisu: NBS1-000-096-859</w:t>
      </w:r>
      <w:r w:rsidRPr="00BE7EC2">
        <w:rPr>
          <w:b/>
          <w:bCs/>
        </w:rPr>
        <w:t xml:space="preserve"> </w:t>
      </w:r>
    </w:p>
    <w:p w14:paraId="0BF3DF4C" w14:textId="3E94E649" w:rsidR="008F1E85" w:rsidRPr="00BE7EC2" w:rsidRDefault="008F1E85" w:rsidP="008F1E85">
      <w:pPr>
        <w:pStyle w:val="Zkladntext"/>
        <w:spacing w:before="40"/>
        <w:ind w:left="5589"/>
      </w:pPr>
      <w:bookmarkStart w:id="0" w:name="_Hlk160622924"/>
      <w:r w:rsidRPr="00BE7EC2">
        <w:t xml:space="preserve">Záznam číslo: </w:t>
      </w:r>
      <w:bookmarkEnd w:id="0"/>
      <w:r w:rsidR="00604901">
        <w:t>100-000-718-275</w:t>
      </w:r>
    </w:p>
    <w:p w14:paraId="25CA17B0" w14:textId="5B3FC6FE" w:rsidR="008F1E85" w:rsidRPr="00BE7EC2" w:rsidRDefault="008F1E85" w:rsidP="008F1E85">
      <w:pPr>
        <w:pStyle w:val="Zkladntext"/>
        <w:spacing w:before="40"/>
        <w:ind w:left="5589"/>
      </w:pPr>
      <w:bookmarkStart w:id="1" w:name="_Hlk161748937"/>
      <w:r w:rsidRPr="00BE7EC2">
        <w:t xml:space="preserve">V Bratislave, dňa </w:t>
      </w:r>
      <w:bookmarkEnd w:id="1"/>
      <w:r w:rsidR="004F12E1" w:rsidRPr="00BE7EC2">
        <w:t>1</w:t>
      </w:r>
      <w:r w:rsidR="00F16FF8" w:rsidRPr="00BE7EC2">
        <w:t>1.</w:t>
      </w:r>
      <w:r w:rsidR="004F12E1" w:rsidRPr="00BE7EC2">
        <w:t>06.2024</w:t>
      </w:r>
      <w:r w:rsidRPr="00BE7EC2">
        <w:tab/>
      </w:r>
      <w:r w:rsidRPr="00BE7EC2">
        <w:tab/>
      </w:r>
      <w:r w:rsidRPr="00BE7EC2">
        <w:tab/>
      </w:r>
      <w:r w:rsidRPr="00BE7EC2">
        <w:tab/>
      </w:r>
      <w:r w:rsidRPr="00BE7EC2">
        <w:tab/>
      </w:r>
      <w:r w:rsidRPr="00BE7EC2">
        <w:tab/>
      </w:r>
    </w:p>
    <w:p w14:paraId="54FB93CD" w14:textId="77777777" w:rsidR="008F1E85" w:rsidRPr="00BE7EC2" w:rsidRDefault="008F1E85" w:rsidP="008F1E85">
      <w:pPr>
        <w:pStyle w:val="Zkladntext"/>
        <w:spacing w:before="6"/>
        <w:rPr>
          <w:sz w:val="28"/>
        </w:rPr>
      </w:pPr>
    </w:p>
    <w:p w14:paraId="526209A5" w14:textId="3B9B6A64" w:rsidR="008F1E85" w:rsidRPr="00BE7EC2" w:rsidRDefault="008F1E85" w:rsidP="008F1E85">
      <w:pPr>
        <w:pStyle w:val="Nadpis2"/>
        <w:spacing w:before="1"/>
        <w:ind w:left="0" w:right="-8"/>
        <w:jc w:val="center"/>
      </w:pPr>
      <w:r w:rsidRPr="00BE7EC2">
        <w:t>ZÁPISNICA Z VYHODNOTENIA PONÚK ČASŤ „</w:t>
      </w:r>
      <w:r w:rsidR="004F12E1" w:rsidRPr="00BE7EC2">
        <w:t>Všeobecná časť</w:t>
      </w:r>
      <w:r w:rsidRPr="00BE7EC2">
        <w:t>“</w:t>
      </w:r>
    </w:p>
    <w:p w14:paraId="1618E78B" w14:textId="77777777" w:rsidR="008F1E85" w:rsidRPr="00BE7EC2" w:rsidRDefault="008F1E85" w:rsidP="008F1E85">
      <w:pPr>
        <w:pStyle w:val="Zkladntext"/>
        <w:rPr>
          <w:b/>
          <w:sz w:val="20"/>
        </w:rPr>
      </w:pPr>
    </w:p>
    <w:p w14:paraId="547788DA" w14:textId="77777777" w:rsidR="008F1E85" w:rsidRPr="00BE7EC2" w:rsidRDefault="008F1E85" w:rsidP="008F1E85">
      <w:pPr>
        <w:pStyle w:val="Zkladntext"/>
        <w:spacing w:before="2" w:after="1"/>
        <w:rPr>
          <w:b/>
          <w:sz w:val="15"/>
        </w:rPr>
      </w:pPr>
    </w:p>
    <w:p w14:paraId="08C9E65F" w14:textId="77777777" w:rsidR="008F1E85" w:rsidRPr="00BE7EC2" w:rsidRDefault="008F1E85" w:rsidP="008F1E85">
      <w:pPr>
        <w:pStyle w:val="Zkladntext"/>
        <w:spacing w:before="2" w:after="1"/>
        <w:rPr>
          <w:b/>
          <w:sz w:val="15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95"/>
        <w:gridCol w:w="4565"/>
      </w:tblGrid>
      <w:tr w:rsidR="008F1E85" w:rsidRPr="00BE7EC2" w14:paraId="683102BA" w14:textId="77777777" w:rsidTr="00A56298">
        <w:trPr>
          <w:trHeight w:val="317"/>
        </w:trPr>
        <w:tc>
          <w:tcPr>
            <w:tcW w:w="4695" w:type="dxa"/>
          </w:tcPr>
          <w:p w14:paraId="44976F74" w14:textId="77777777" w:rsidR="008F1E85" w:rsidRPr="00BE7EC2" w:rsidRDefault="008F1E85" w:rsidP="00A56298">
            <w:pPr>
              <w:pStyle w:val="TableParagraph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Názov verejného obstarávateľa:</w:t>
            </w:r>
          </w:p>
        </w:tc>
        <w:tc>
          <w:tcPr>
            <w:tcW w:w="4565" w:type="dxa"/>
          </w:tcPr>
          <w:p w14:paraId="009B7DAD" w14:textId="77777777" w:rsidR="008F1E85" w:rsidRPr="00BE7EC2" w:rsidRDefault="008F1E85" w:rsidP="00A56298">
            <w:pPr>
              <w:pStyle w:val="TableParagraph"/>
              <w:spacing w:before="60" w:after="60"/>
              <w:ind w:left="111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Národná banka Slovenska</w:t>
            </w:r>
          </w:p>
        </w:tc>
      </w:tr>
      <w:tr w:rsidR="008F1E85" w:rsidRPr="00BE7EC2" w14:paraId="21507C98" w14:textId="77777777" w:rsidTr="00A56298">
        <w:trPr>
          <w:trHeight w:val="377"/>
        </w:trPr>
        <w:tc>
          <w:tcPr>
            <w:tcW w:w="4695" w:type="dxa"/>
          </w:tcPr>
          <w:p w14:paraId="3B429235" w14:textId="77777777" w:rsidR="008F1E85" w:rsidRPr="00BE7EC2" w:rsidRDefault="008F1E85" w:rsidP="00A56298">
            <w:pPr>
              <w:pStyle w:val="TableParagraph"/>
              <w:spacing w:before="59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Sídlo verejného obstarávateľa:</w:t>
            </w:r>
          </w:p>
        </w:tc>
        <w:tc>
          <w:tcPr>
            <w:tcW w:w="4565" w:type="dxa"/>
          </w:tcPr>
          <w:p w14:paraId="03EFCB22" w14:textId="77777777" w:rsidR="008F1E85" w:rsidRPr="00BE7EC2" w:rsidRDefault="008F1E85" w:rsidP="00A56298">
            <w:pPr>
              <w:pStyle w:val="TableParagraph"/>
              <w:spacing w:before="60" w:after="60"/>
              <w:ind w:left="111"/>
              <w:rPr>
                <w:lang w:val="sk-SK"/>
              </w:rPr>
            </w:pPr>
            <w:r w:rsidRPr="00BE7EC2">
              <w:rPr>
                <w:lang w:val="sk-SK"/>
              </w:rPr>
              <w:t xml:space="preserve">Imricha </w:t>
            </w:r>
            <w:proofErr w:type="spellStart"/>
            <w:r w:rsidRPr="00BE7EC2">
              <w:rPr>
                <w:lang w:val="sk-SK"/>
              </w:rPr>
              <w:t>Karvaša</w:t>
            </w:r>
            <w:proofErr w:type="spellEnd"/>
            <w:r w:rsidRPr="00BE7EC2">
              <w:rPr>
                <w:lang w:val="sk-SK"/>
              </w:rPr>
              <w:t xml:space="preserve"> 1, 813 25 Bratislava</w:t>
            </w:r>
          </w:p>
        </w:tc>
      </w:tr>
      <w:tr w:rsidR="008F1E85" w:rsidRPr="00BE7EC2" w14:paraId="534E0B37" w14:textId="77777777" w:rsidTr="00A56298">
        <w:trPr>
          <w:trHeight w:val="426"/>
        </w:trPr>
        <w:tc>
          <w:tcPr>
            <w:tcW w:w="4695" w:type="dxa"/>
          </w:tcPr>
          <w:p w14:paraId="27C89143" w14:textId="77777777" w:rsidR="008F1E85" w:rsidRPr="00BE7EC2" w:rsidRDefault="008F1E85" w:rsidP="00A56298">
            <w:pPr>
              <w:pStyle w:val="TableParagraph"/>
              <w:spacing w:before="61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Predmet / názov zákazky:</w:t>
            </w:r>
          </w:p>
        </w:tc>
        <w:tc>
          <w:tcPr>
            <w:tcW w:w="4565" w:type="dxa"/>
          </w:tcPr>
          <w:p w14:paraId="54797A1A" w14:textId="77777777" w:rsidR="008F1E85" w:rsidRPr="00BE7EC2" w:rsidRDefault="008F1E85" w:rsidP="00A56298">
            <w:pPr>
              <w:pStyle w:val="TableParagraph"/>
              <w:spacing w:before="60" w:after="60"/>
              <w:ind w:left="111" w:right="200"/>
              <w:jc w:val="both"/>
              <w:rPr>
                <w:b/>
                <w:lang w:val="sk-SK"/>
              </w:rPr>
            </w:pPr>
            <w:bookmarkStart w:id="2" w:name="_Hlk169036073"/>
            <w:r w:rsidRPr="00BE7EC2">
              <w:rPr>
                <w:rFonts w:cs="Arial"/>
                <w:b/>
                <w:bCs/>
                <w:lang w:val="sk-SK"/>
              </w:rPr>
              <w:t xml:space="preserve">Organizácia podujatia EFA 2024 – </w:t>
            </w:r>
            <w:proofErr w:type="spellStart"/>
            <w:r w:rsidRPr="00BE7EC2">
              <w:rPr>
                <w:rFonts w:cs="Arial"/>
                <w:b/>
                <w:bCs/>
                <w:lang w:val="sk-SK"/>
              </w:rPr>
              <w:t>European</w:t>
            </w:r>
            <w:proofErr w:type="spellEnd"/>
            <w:r w:rsidRPr="00BE7EC2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Pr="00BE7EC2">
              <w:rPr>
                <w:rFonts w:cs="Arial"/>
                <w:b/>
                <w:bCs/>
                <w:lang w:val="sk-SK"/>
              </w:rPr>
              <w:t>Finance</w:t>
            </w:r>
            <w:proofErr w:type="spellEnd"/>
            <w:r w:rsidRPr="00BE7EC2">
              <w:rPr>
                <w:rFonts w:cs="Arial"/>
                <w:b/>
                <w:bCs/>
                <w:lang w:val="sk-SK"/>
              </w:rPr>
              <w:t xml:space="preserve"> Association, 51st </w:t>
            </w:r>
            <w:proofErr w:type="spellStart"/>
            <w:r w:rsidRPr="00BE7EC2">
              <w:rPr>
                <w:rFonts w:cs="Arial"/>
                <w:b/>
                <w:bCs/>
                <w:lang w:val="sk-SK"/>
              </w:rPr>
              <w:t>Annual</w:t>
            </w:r>
            <w:proofErr w:type="spellEnd"/>
            <w:r w:rsidRPr="00BE7EC2">
              <w:rPr>
                <w:rFonts w:cs="Arial"/>
                <w:b/>
                <w:bCs/>
                <w:lang w:val="sk-SK"/>
              </w:rPr>
              <w:t xml:space="preserve"> </w:t>
            </w:r>
            <w:proofErr w:type="spellStart"/>
            <w:r w:rsidRPr="00BE7EC2">
              <w:rPr>
                <w:rFonts w:cs="Arial"/>
                <w:b/>
                <w:bCs/>
                <w:lang w:val="sk-SK"/>
              </w:rPr>
              <w:t>Meeting</w:t>
            </w:r>
            <w:proofErr w:type="spellEnd"/>
            <w:r w:rsidRPr="00BE7EC2">
              <w:rPr>
                <w:rFonts w:cs="Arial"/>
                <w:b/>
                <w:bCs/>
                <w:lang w:val="sk-SK"/>
              </w:rPr>
              <w:t xml:space="preserve"> 21. - 24. August 2024 – Denná časť</w:t>
            </w:r>
            <w:bookmarkEnd w:id="2"/>
          </w:p>
        </w:tc>
      </w:tr>
      <w:tr w:rsidR="008F1E85" w:rsidRPr="00BE7EC2" w14:paraId="143A399B" w14:textId="77777777" w:rsidTr="00A56298">
        <w:trPr>
          <w:trHeight w:val="1321"/>
        </w:trPr>
        <w:tc>
          <w:tcPr>
            <w:tcW w:w="4695" w:type="dxa"/>
          </w:tcPr>
          <w:p w14:paraId="741119AA" w14:textId="77777777" w:rsidR="008F1E85" w:rsidRPr="00BE7EC2" w:rsidRDefault="008F1E85" w:rsidP="00A56298">
            <w:pPr>
              <w:pStyle w:val="TableParagraph"/>
              <w:spacing w:before="60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Postup verejného obstarávania:</w:t>
            </w:r>
          </w:p>
        </w:tc>
        <w:tc>
          <w:tcPr>
            <w:tcW w:w="4565" w:type="dxa"/>
          </w:tcPr>
          <w:p w14:paraId="4F12830C" w14:textId="77777777" w:rsidR="008F1E85" w:rsidRPr="00BE7EC2" w:rsidRDefault="008F1E85" w:rsidP="00A56298">
            <w:pPr>
              <w:pStyle w:val="TableParagraph"/>
              <w:spacing w:before="60" w:after="60"/>
              <w:ind w:left="113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>Nadlimitná zákazka, § 66 zákona č. 343/2015 Z. z. o verejnom obstarávaní a o zmene a doplnení niektorých zákonov v znení neskorších predpisov (ďalej len „ZVO“), postupom podľa § 66 ods. 7 písm. b) ZVO</w:t>
            </w:r>
          </w:p>
        </w:tc>
      </w:tr>
      <w:tr w:rsidR="008F1E85" w:rsidRPr="00BE7EC2" w14:paraId="71DA3BDC" w14:textId="77777777" w:rsidTr="00A56298">
        <w:trPr>
          <w:trHeight w:val="346"/>
        </w:trPr>
        <w:tc>
          <w:tcPr>
            <w:tcW w:w="4695" w:type="dxa"/>
          </w:tcPr>
          <w:p w14:paraId="18C0A569" w14:textId="77777777" w:rsidR="008F1E85" w:rsidRPr="00BE7EC2" w:rsidRDefault="008F1E85" w:rsidP="00A56298">
            <w:pPr>
              <w:pStyle w:val="TableParagraph"/>
              <w:spacing w:before="59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Legislatívny rámec:</w:t>
            </w:r>
          </w:p>
        </w:tc>
        <w:tc>
          <w:tcPr>
            <w:tcW w:w="4565" w:type="dxa"/>
          </w:tcPr>
          <w:p w14:paraId="3196662B" w14:textId="77777777" w:rsidR="008F1E85" w:rsidRPr="00BE7EC2" w:rsidRDefault="008F1E85" w:rsidP="00A56298">
            <w:pPr>
              <w:pStyle w:val="TableParagraph"/>
              <w:spacing w:before="60" w:after="60"/>
              <w:ind w:left="113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 xml:space="preserve">V súlade s § 52 zákona o verejnom obstarávaní </w:t>
            </w:r>
          </w:p>
        </w:tc>
      </w:tr>
      <w:tr w:rsidR="008F1E85" w:rsidRPr="00BE7EC2" w14:paraId="1B6FED2C" w14:textId="77777777" w:rsidTr="00A56298">
        <w:trPr>
          <w:trHeight w:val="1607"/>
        </w:trPr>
        <w:tc>
          <w:tcPr>
            <w:tcW w:w="4695" w:type="dxa"/>
          </w:tcPr>
          <w:p w14:paraId="5C37689F" w14:textId="77777777" w:rsidR="008F1E85" w:rsidRPr="00BE7EC2" w:rsidRDefault="008F1E85" w:rsidP="00A56298">
            <w:pPr>
              <w:pStyle w:val="TableParagraph"/>
              <w:spacing w:before="89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Označenie v Úradnom vestníku EÚ a vo</w:t>
            </w:r>
          </w:p>
          <w:p w14:paraId="54B585C9" w14:textId="77777777" w:rsidR="008F1E85" w:rsidRPr="00BE7EC2" w:rsidRDefault="008F1E85" w:rsidP="00A56298">
            <w:pPr>
              <w:pStyle w:val="TableParagraph"/>
              <w:spacing w:before="2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Vestníku VO vedeného ÚVO:</w:t>
            </w:r>
          </w:p>
        </w:tc>
        <w:tc>
          <w:tcPr>
            <w:tcW w:w="4565" w:type="dxa"/>
          </w:tcPr>
          <w:p w14:paraId="52DA4AAF" w14:textId="77777777" w:rsidR="008F1E85" w:rsidRPr="00BE7EC2" w:rsidRDefault="008F1E85" w:rsidP="00A56298">
            <w:pPr>
              <w:pStyle w:val="TableParagraph"/>
              <w:spacing w:before="60" w:after="60"/>
              <w:ind w:left="111"/>
              <w:jc w:val="both"/>
              <w:rPr>
                <w:lang w:val="sk-SK"/>
              </w:rPr>
            </w:pPr>
            <w:bookmarkStart w:id="3" w:name="_Hlk169036120"/>
            <w:r w:rsidRPr="00BE7EC2">
              <w:rPr>
                <w:rFonts w:eastAsia="Times New Roman"/>
                <w:lang w:val="sk-SK"/>
              </w:rPr>
              <w:t xml:space="preserve">Oznámenie o vyhlásení verejného obstarávania v Úradnom vestníku EÚ č. </w:t>
            </w:r>
            <w:r w:rsidRPr="00BE7EC2">
              <w:rPr>
                <w:rFonts w:cs="Arial"/>
                <w:lang w:val="sk-SK"/>
              </w:rPr>
              <w:t xml:space="preserve">75/2024 </w:t>
            </w:r>
            <w:r w:rsidRPr="00BE7EC2">
              <w:rPr>
                <w:rFonts w:cs="Arial"/>
                <w:bCs/>
                <w:lang w:val="sk-SK"/>
              </w:rPr>
              <w:t>zo dňa 16.04.2024 pod číslom</w:t>
            </w:r>
            <w:r w:rsidRPr="00BE7EC2">
              <w:rPr>
                <w:rFonts w:eastAsia="Times New Roman"/>
                <w:lang w:val="sk-SK"/>
              </w:rPr>
              <w:t xml:space="preserve"> </w:t>
            </w:r>
            <w:r w:rsidRPr="00BE7EC2">
              <w:rPr>
                <w:rFonts w:cs="Arial"/>
                <w:lang w:val="sk-SK"/>
              </w:rPr>
              <w:t>224501-</w:t>
            </w:r>
            <w:r w:rsidRPr="00BE7EC2">
              <w:rPr>
                <w:rFonts w:eastAsia="Times New Roman"/>
                <w:lang w:val="sk-SK"/>
              </w:rPr>
              <w:t xml:space="preserve">2024 </w:t>
            </w:r>
            <w:r w:rsidRPr="00BE7EC2">
              <w:rPr>
                <w:rFonts w:cs="Arial"/>
                <w:lang w:val="sk-SK"/>
              </w:rPr>
              <w:t xml:space="preserve">a vo Vestníku verejného </w:t>
            </w:r>
            <w:r w:rsidRPr="00BE7EC2">
              <w:rPr>
                <w:rFonts w:cs="Arial"/>
                <w:iCs/>
                <w:lang w:val="sk-SK"/>
              </w:rPr>
              <w:t>obstarávania</w:t>
            </w:r>
            <w:r w:rsidRPr="00BE7EC2">
              <w:rPr>
                <w:rFonts w:cs="Arial"/>
                <w:lang w:val="sk-SK"/>
              </w:rPr>
              <w:t xml:space="preserve"> </w:t>
            </w:r>
            <w:r w:rsidRPr="00BE7EC2">
              <w:rPr>
                <w:rFonts w:eastAsia="Times New Roman" w:cs="Arial"/>
                <w:bCs/>
                <w:lang w:val="sk-SK"/>
              </w:rPr>
              <w:t>75/2024 zo dňa 17.04.2024 pod číslom 10503-MSS</w:t>
            </w:r>
            <w:r w:rsidRPr="00BE7EC2">
              <w:rPr>
                <w:lang w:val="sk-SK"/>
              </w:rPr>
              <w:t>.</w:t>
            </w:r>
            <w:bookmarkEnd w:id="3"/>
          </w:p>
        </w:tc>
      </w:tr>
      <w:tr w:rsidR="008F1E85" w:rsidRPr="00BE7EC2" w14:paraId="2AAB605E" w14:textId="77777777" w:rsidTr="00A56298">
        <w:trPr>
          <w:trHeight w:val="408"/>
        </w:trPr>
        <w:tc>
          <w:tcPr>
            <w:tcW w:w="4695" w:type="dxa"/>
          </w:tcPr>
          <w:p w14:paraId="2FEA8368" w14:textId="77777777" w:rsidR="008F1E85" w:rsidRPr="00BE7EC2" w:rsidRDefault="008F1E85" w:rsidP="00A56298">
            <w:pPr>
              <w:pStyle w:val="TableParagraph"/>
              <w:spacing w:before="89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Lehota na predkladanie ponúk:</w:t>
            </w:r>
          </w:p>
        </w:tc>
        <w:tc>
          <w:tcPr>
            <w:tcW w:w="4565" w:type="dxa"/>
          </w:tcPr>
          <w:p w14:paraId="52BFFF20" w14:textId="562B6D8B" w:rsidR="008F1E85" w:rsidRPr="00BE7EC2" w:rsidRDefault="008F1E85" w:rsidP="00A56298">
            <w:pPr>
              <w:pStyle w:val="TableParagraph"/>
              <w:spacing w:before="60" w:after="60"/>
              <w:ind w:left="103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>10.05.2024, 10:00 hod.</w:t>
            </w:r>
            <w:r w:rsidR="004F12E1" w:rsidRPr="00BE7EC2">
              <w:rPr>
                <w:lang w:val="sk-SK"/>
              </w:rPr>
              <w:t xml:space="preserve">, </w:t>
            </w:r>
            <w:r w:rsidR="004F12E1" w:rsidRPr="00BE7EC2">
              <w:rPr>
                <w:rFonts w:cs="Arial"/>
                <w:lang w:val="sk-SK"/>
              </w:rPr>
              <w:t>24.05.2024, 23:59:59 (lehota pre zaslanie hesiel na odheslovanie ponúk Všeobecná časť)</w:t>
            </w:r>
          </w:p>
        </w:tc>
      </w:tr>
      <w:tr w:rsidR="008F1E85" w:rsidRPr="00BE7EC2" w14:paraId="664F8E9B" w14:textId="77777777" w:rsidTr="00A56298">
        <w:trPr>
          <w:trHeight w:val="378"/>
        </w:trPr>
        <w:tc>
          <w:tcPr>
            <w:tcW w:w="4695" w:type="dxa"/>
          </w:tcPr>
          <w:p w14:paraId="0B9CC5A7" w14:textId="77777777" w:rsidR="008F1E85" w:rsidRPr="00BE7EC2" w:rsidRDefault="008F1E85" w:rsidP="00A56298">
            <w:pPr>
              <w:pStyle w:val="TableParagraph"/>
              <w:spacing w:before="61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Miesto zasadania komisie:</w:t>
            </w:r>
          </w:p>
        </w:tc>
        <w:tc>
          <w:tcPr>
            <w:tcW w:w="4565" w:type="dxa"/>
          </w:tcPr>
          <w:p w14:paraId="1857406F" w14:textId="768763C1" w:rsidR="008F1E85" w:rsidRPr="00BE7EC2" w:rsidRDefault="008F1E85" w:rsidP="00A56298">
            <w:pPr>
              <w:pStyle w:val="TableParagraph"/>
              <w:spacing w:before="60" w:after="60"/>
              <w:ind w:left="111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 xml:space="preserve">Prezenčne v zasadačke NBS BA_07_022 </w:t>
            </w:r>
            <w:r w:rsidR="004F12E1" w:rsidRPr="00BE7EC2">
              <w:rPr>
                <w:lang w:val="sk-SK"/>
              </w:rPr>
              <w:t xml:space="preserve">+ per </w:t>
            </w:r>
            <w:proofErr w:type="spellStart"/>
            <w:r w:rsidR="004F12E1" w:rsidRPr="00BE7EC2">
              <w:rPr>
                <w:lang w:val="sk-SK"/>
              </w:rPr>
              <w:t>rollam</w:t>
            </w:r>
            <w:proofErr w:type="spellEnd"/>
          </w:p>
        </w:tc>
      </w:tr>
      <w:tr w:rsidR="008F1E85" w:rsidRPr="00BE7EC2" w14:paraId="086252A4" w14:textId="77777777" w:rsidTr="00A56298">
        <w:trPr>
          <w:trHeight w:val="317"/>
        </w:trPr>
        <w:tc>
          <w:tcPr>
            <w:tcW w:w="4695" w:type="dxa"/>
          </w:tcPr>
          <w:p w14:paraId="151EB790" w14:textId="77777777" w:rsidR="008F1E85" w:rsidRPr="00BE7EC2" w:rsidRDefault="008F1E85" w:rsidP="00A56298">
            <w:pPr>
              <w:pStyle w:val="TableParagraph"/>
              <w:spacing w:before="59" w:line="238" w:lineRule="exact"/>
              <w:ind w:left="22"/>
              <w:rPr>
                <w:b/>
                <w:lang w:val="sk-SK"/>
              </w:rPr>
            </w:pPr>
            <w:r w:rsidRPr="00BE7EC2">
              <w:rPr>
                <w:b/>
                <w:lang w:val="sk-SK"/>
              </w:rPr>
              <w:t>Dátum a čas zasadania komisie:</w:t>
            </w:r>
          </w:p>
        </w:tc>
        <w:tc>
          <w:tcPr>
            <w:tcW w:w="4565" w:type="dxa"/>
          </w:tcPr>
          <w:p w14:paraId="5674CE53" w14:textId="7697673E" w:rsidR="008F1E85" w:rsidRPr="00BE7EC2" w:rsidRDefault="004F12E1" w:rsidP="00A56298">
            <w:pPr>
              <w:pStyle w:val="TableParagraph"/>
              <w:spacing w:before="60" w:after="60" w:line="238" w:lineRule="exact"/>
              <w:ind w:left="111"/>
              <w:jc w:val="both"/>
              <w:rPr>
                <w:lang w:val="sk-SK"/>
              </w:rPr>
            </w:pPr>
            <w:r w:rsidRPr="00BE7EC2">
              <w:rPr>
                <w:lang w:val="sk-SK"/>
              </w:rPr>
              <w:t>27</w:t>
            </w:r>
            <w:r w:rsidR="008F1E85" w:rsidRPr="00BE7EC2">
              <w:rPr>
                <w:lang w:val="sk-SK"/>
              </w:rPr>
              <w:t>.05.2024, o 1</w:t>
            </w:r>
            <w:r w:rsidRPr="00BE7EC2">
              <w:rPr>
                <w:lang w:val="sk-SK"/>
              </w:rPr>
              <w:t>1</w:t>
            </w:r>
            <w:r w:rsidR="008F1E85" w:rsidRPr="00BE7EC2">
              <w:rPr>
                <w:lang w:val="sk-SK"/>
              </w:rPr>
              <w:t>:00 hod.</w:t>
            </w:r>
            <w:r w:rsidR="004B43F7" w:rsidRPr="00BE7EC2">
              <w:rPr>
                <w:lang w:val="sk-SK"/>
              </w:rPr>
              <w:t>, 11.06.2024 o 9:00 hod.</w:t>
            </w:r>
          </w:p>
          <w:p w14:paraId="5A1C3D23" w14:textId="77777777" w:rsidR="008F1E85" w:rsidRPr="00BE7EC2" w:rsidRDefault="008F1E85" w:rsidP="00A56298">
            <w:pPr>
              <w:pStyle w:val="TableParagraph"/>
              <w:spacing w:before="60" w:after="60" w:line="238" w:lineRule="exact"/>
              <w:ind w:left="-5521" w:firstLine="5632"/>
              <w:jc w:val="both"/>
              <w:rPr>
                <w:lang w:val="sk-SK"/>
              </w:rPr>
            </w:pPr>
          </w:p>
        </w:tc>
      </w:tr>
    </w:tbl>
    <w:p w14:paraId="3F0918C6" w14:textId="77777777" w:rsidR="008F1E85" w:rsidRPr="00BE7EC2" w:rsidRDefault="008F1E85" w:rsidP="008F1E85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E7EC2">
        <w:rPr>
          <w:rFonts w:eastAsia="Times New Roman" w:cs="Arial"/>
          <w:b/>
          <w:bCs/>
          <w:lang w:bidi="ar-SA"/>
        </w:rPr>
        <w:t xml:space="preserve">Identifikácia uchádzačov, ktorí predložili ponuku </w:t>
      </w: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670"/>
        <w:gridCol w:w="2268"/>
      </w:tblGrid>
      <w:tr w:rsidR="008F1E85" w:rsidRPr="00BE7EC2" w14:paraId="27EFF255" w14:textId="77777777" w:rsidTr="00A56298">
        <w:trPr>
          <w:trHeight w:val="566"/>
        </w:trPr>
        <w:tc>
          <w:tcPr>
            <w:tcW w:w="1418" w:type="dxa"/>
            <w:shd w:val="clear" w:color="auto" w:fill="DFDFDF"/>
            <w:vAlign w:val="center"/>
          </w:tcPr>
          <w:p w14:paraId="5B082A70" w14:textId="77777777" w:rsidR="008F1E85" w:rsidRPr="00BE7EC2" w:rsidRDefault="008F1E85" w:rsidP="00A56298">
            <w:pPr>
              <w:spacing w:before="155"/>
              <w:ind w:left="201" w:right="191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Ponuka č.</w:t>
            </w:r>
          </w:p>
        </w:tc>
        <w:tc>
          <w:tcPr>
            <w:tcW w:w="5670" w:type="dxa"/>
            <w:shd w:val="clear" w:color="auto" w:fill="DFDFDF"/>
            <w:vAlign w:val="center"/>
          </w:tcPr>
          <w:p w14:paraId="6350E19A" w14:textId="77777777" w:rsidR="008F1E85" w:rsidRPr="00BE7EC2" w:rsidRDefault="008F1E85" w:rsidP="00A56298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Obchodné meno/názov, sídlo/miesto</w:t>
            </w:r>
          </w:p>
          <w:p w14:paraId="30EBC5C2" w14:textId="77777777" w:rsidR="008F1E85" w:rsidRPr="00BE7EC2" w:rsidRDefault="008F1E85" w:rsidP="00A56298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podnikania a IČO uchádzača</w:t>
            </w:r>
          </w:p>
        </w:tc>
        <w:tc>
          <w:tcPr>
            <w:tcW w:w="2268" w:type="dxa"/>
            <w:shd w:val="clear" w:color="auto" w:fill="DFDFDF"/>
          </w:tcPr>
          <w:p w14:paraId="600E8422" w14:textId="77777777" w:rsidR="008F1E85" w:rsidRPr="00BE7EC2" w:rsidRDefault="008F1E85" w:rsidP="00A56298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Dátum a čas predloženia ponuky</w:t>
            </w:r>
          </w:p>
        </w:tc>
      </w:tr>
      <w:tr w:rsidR="008F1E85" w:rsidRPr="00BE7EC2" w14:paraId="1A129BF9" w14:textId="77777777" w:rsidTr="00A56298">
        <w:trPr>
          <w:trHeight w:val="709"/>
        </w:trPr>
        <w:tc>
          <w:tcPr>
            <w:tcW w:w="1418" w:type="dxa"/>
            <w:vAlign w:val="center"/>
          </w:tcPr>
          <w:p w14:paraId="3B306286" w14:textId="77777777" w:rsidR="008F1E85" w:rsidRPr="00BE7EC2" w:rsidRDefault="008F1E85" w:rsidP="00A56298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1.</w:t>
            </w:r>
          </w:p>
        </w:tc>
        <w:tc>
          <w:tcPr>
            <w:tcW w:w="5670" w:type="dxa"/>
            <w:vAlign w:val="center"/>
          </w:tcPr>
          <w:p w14:paraId="4A4078A2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 xml:space="preserve">CREATIVE PRO a.s., </w:t>
            </w:r>
          </w:p>
          <w:p w14:paraId="2660C368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Matúšova 56/A, 811 04 Bratislava – mestská časť Staré mesto</w:t>
            </w:r>
          </w:p>
          <w:p w14:paraId="69353D7A" w14:textId="77777777" w:rsidR="008F1E85" w:rsidRPr="00BE7EC2" w:rsidRDefault="008F1E85" w:rsidP="00A56298">
            <w:pPr>
              <w:spacing w:before="37"/>
              <w:ind w:left="108"/>
              <w:rPr>
                <w:highlight w:val="yellow"/>
                <w:lang w:val="sk-SK" w:eastAsia="en-US"/>
              </w:rPr>
            </w:pPr>
            <w:r w:rsidRPr="00BE7EC2">
              <w:rPr>
                <w:lang w:val="sk-SK" w:eastAsia="en-US"/>
              </w:rPr>
              <w:t>IČO: 35968702</w:t>
            </w:r>
          </w:p>
        </w:tc>
        <w:tc>
          <w:tcPr>
            <w:tcW w:w="2268" w:type="dxa"/>
            <w:vAlign w:val="center"/>
          </w:tcPr>
          <w:p w14:paraId="3A846336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10.05.2024</w:t>
            </w:r>
          </w:p>
          <w:p w14:paraId="03DEEC0F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8:18:09</w:t>
            </w:r>
          </w:p>
        </w:tc>
      </w:tr>
      <w:tr w:rsidR="008F1E85" w:rsidRPr="00BE7EC2" w14:paraId="5B0577F4" w14:textId="77777777" w:rsidTr="00A56298">
        <w:trPr>
          <w:trHeight w:val="592"/>
        </w:trPr>
        <w:tc>
          <w:tcPr>
            <w:tcW w:w="1418" w:type="dxa"/>
            <w:vAlign w:val="center"/>
          </w:tcPr>
          <w:p w14:paraId="56F64C7D" w14:textId="77777777" w:rsidR="008F1E85" w:rsidRPr="00BE7EC2" w:rsidRDefault="008F1E85" w:rsidP="00A56298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2.</w:t>
            </w:r>
          </w:p>
        </w:tc>
        <w:tc>
          <w:tcPr>
            <w:tcW w:w="5670" w:type="dxa"/>
            <w:vAlign w:val="center"/>
          </w:tcPr>
          <w:p w14:paraId="41E1379E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VIVA EVENTS, s.r.o.</w:t>
            </w:r>
          </w:p>
          <w:p w14:paraId="781F8AED" w14:textId="77777777" w:rsidR="008F1E85" w:rsidRPr="00BE7EC2" w:rsidRDefault="008F1E85" w:rsidP="00A56298">
            <w:pPr>
              <w:spacing w:before="37"/>
              <w:ind w:left="108"/>
              <w:rPr>
                <w:rStyle w:val="ra"/>
                <w:lang w:val="sk-SK"/>
              </w:rPr>
            </w:pPr>
            <w:r w:rsidRPr="00BE7EC2">
              <w:rPr>
                <w:rStyle w:val="ra"/>
                <w:lang w:val="sk-SK"/>
              </w:rPr>
              <w:t xml:space="preserve">Kľukatá 41, 821 05 Bratislava - mestská časť Ružinov </w:t>
            </w:r>
          </w:p>
          <w:p w14:paraId="6D21A0D4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lastRenderedPageBreak/>
              <w:t>IČO: 51154765</w:t>
            </w:r>
          </w:p>
        </w:tc>
        <w:tc>
          <w:tcPr>
            <w:tcW w:w="2268" w:type="dxa"/>
            <w:vAlign w:val="center"/>
          </w:tcPr>
          <w:p w14:paraId="3E23D33C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lastRenderedPageBreak/>
              <w:t>10.05.2024</w:t>
            </w:r>
          </w:p>
          <w:p w14:paraId="7F6B8620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9:26:23</w:t>
            </w:r>
          </w:p>
        </w:tc>
      </w:tr>
      <w:tr w:rsidR="008F1E85" w:rsidRPr="00BE7EC2" w14:paraId="0EDEE3C5" w14:textId="77777777" w:rsidTr="00A56298">
        <w:trPr>
          <w:trHeight w:val="592"/>
        </w:trPr>
        <w:tc>
          <w:tcPr>
            <w:tcW w:w="1418" w:type="dxa"/>
            <w:vAlign w:val="center"/>
          </w:tcPr>
          <w:p w14:paraId="7BD7AF11" w14:textId="77777777" w:rsidR="008F1E85" w:rsidRPr="00BE7EC2" w:rsidRDefault="008F1E85" w:rsidP="00A56298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3.</w:t>
            </w:r>
          </w:p>
        </w:tc>
        <w:tc>
          <w:tcPr>
            <w:tcW w:w="5670" w:type="dxa"/>
            <w:vAlign w:val="center"/>
          </w:tcPr>
          <w:p w14:paraId="1C6420CE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 xml:space="preserve">LEOPARD PRODUCTION, s. r. o. </w:t>
            </w:r>
          </w:p>
          <w:p w14:paraId="484B3B9A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proofErr w:type="spellStart"/>
            <w:r w:rsidRPr="00BE7EC2">
              <w:rPr>
                <w:rStyle w:val="ra"/>
                <w:lang w:val="sk-SK"/>
              </w:rPr>
              <w:t>Sreznevského</w:t>
            </w:r>
            <w:proofErr w:type="spellEnd"/>
            <w:r w:rsidRPr="00BE7EC2">
              <w:rPr>
                <w:rStyle w:val="ra"/>
                <w:lang w:val="sk-SK"/>
              </w:rPr>
              <w:t xml:space="preserve"> 3</w:t>
            </w:r>
            <w:r w:rsidRPr="00BE7EC2">
              <w:rPr>
                <w:lang w:val="sk-SK" w:eastAsia="en-US"/>
              </w:rPr>
              <w:t xml:space="preserve">, 831 03 Bratislava </w:t>
            </w:r>
          </w:p>
          <w:p w14:paraId="093A68B4" w14:textId="77777777" w:rsidR="008F1E85" w:rsidRPr="00BE7EC2" w:rsidRDefault="008F1E85" w:rsidP="00A56298">
            <w:pPr>
              <w:spacing w:before="39"/>
              <w:ind w:left="108"/>
              <w:rPr>
                <w:highlight w:val="yellow"/>
                <w:lang w:val="sk-SK" w:eastAsia="en-US"/>
              </w:rPr>
            </w:pPr>
            <w:r w:rsidRPr="00BE7EC2">
              <w:rPr>
                <w:lang w:val="sk-SK" w:eastAsia="en-US"/>
              </w:rPr>
              <w:t>IČO: 44387407</w:t>
            </w:r>
          </w:p>
        </w:tc>
        <w:tc>
          <w:tcPr>
            <w:tcW w:w="2268" w:type="dxa"/>
            <w:vAlign w:val="center"/>
          </w:tcPr>
          <w:p w14:paraId="20CF6821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10.05.2024</w:t>
            </w:r>
          </w:p>
          <w:p w14:paraId="4FDA904E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9:39:23</w:t>
            </w:r>
          </w:p>
        </w:tc>
      </w:tr>
      <w:tr w:rsidR="008F1E85" w:rsidRPr="00BE7EC2" w14:paraId="2AE26C42" w14:textId="77777777" w:rsidTr="00A56298">
        <w:trPr>
          <w:trHeight w:val="592"/>
        </w:trPr>
        <w:tc>
          <w:tcPr>
            <w:tcW w:w="1418" w:type="dxa"/>
            <w:vAlign w:val="center"/>
          </w:tcPr>
          <w:p w14:paraId="17D4B178" w14:textId="77777777" w:rsidR="008F1E85" w:rsidRPr="00BE7EC2" w:rsidRDefault="008F1E85" w:rsidP="00A56298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4.</w:t>
            </w:r>
          </w:p>
        </w:tc>
        <w:tc>
          <w:tcPr>
            <w:tcW w:w="5670" w:type="dxa"/>
            <w:vAlign w:val="center"/>
          </w:tcPr>
          <w:p w14:paraId="55A90536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E-MOTION s.r.o.</w:t>
            </w:r>
          </w:p>
          <w:p w14:paraId="5039C06F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proofErr w:type="spellStart"/>
            <w:r w:rsidRPr="00BE7EC2">
              <w:rPr>
                <w:rStyle w:val="ra"/>
                <w:lang w:val="sk-SK"/>
              </w:rPr>
              <w:t>Betliarska</w:t>
            </w:r>
            <w:proofErr w:type="spellEnd"/>
            <w:r w:rsidRPr="00BE7EC2">
              <w:rPr>
                <w:rStyle w:val="ra"/>
                <w:lang w:val="sk-SK"/>
              </w:rPr>
              <w:t xml:space="preserve"> 8/A</w:t>
            </w:r>
            <w:r w:rsidRPr="00BE7EC2">
              <w:rPr>
                <w:rStyle w:val="ra"/>
                <w:rFonts w:cs="Arial"/>
                <w:color w:val="000000"/>
                <w:shd w:val="clear" w:color="auto" w:fill="FFFFFF"/>
                <w:lang w:val="sk-SK"/>
              </w:rPr>
              <w:t>, 851 07 Bratislava</w:t>
            </w:r>
          </w:p>
          <w:p w14:paraId="529837AB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IČO: 35732105</w:t>
            </w:r>
          </w:p>
        </w:tc>
        <w:tc>
          <w:tcPr>
            <w:tcW w:w="2268" w:type="dxa"/>
            <w:vAlign w:val="center"/>
          </w:tcPr>
          <w:p w14:paraId="349C70B1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10.05.2024</w:t>
            </w:r>
          </w:p>
          <w:p w14:paraId="709BFA68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9:39:34</w:t>
            </w:r>
          </w:p>
        </w:tc>
      </w:tr>
      <w:tr w:rsidR="008F1E85" w:rsidRPr="00BE7EC2" w14:paraId="4D16F9B2" w14:textId="77777777" w:rsidTr="00A56298">
        <w:trPr>
          <w:trHeight w:val="623"/>
        </w:trPr>
        <w:tc>
          <w:tcPr>
            <w:tcW w:w="1418" w:type="dxa"/>
            <w:vAlign w:val="center"/>
          </w:tcPr>
          <w:p w14:paraId="4B5FD8D9" w14:textId="77777777" w:rsidR="008F1E85" w:rsidRPr="00BE7EC2" w:rsidRDefault="008F1E85" w:rsidP="00A56298">
            <w:pPr>
              <w:ind w:left="198" w:right="193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5.</w:t>
            </w:r>
          </w:p>
        </w:tc>
        <w:tc>
          <w:tcPr>
            <w:tcW w:w="5670" w:type="dxa"/>
            <w:vAlign w:val="center"/>
          </w:tcPr>
          <w:p w14:paraId="370ED180" w14:textId="77777777" w:rsidR="008F1E85" w:rsidRPr="00BE7EC2" w:rsidRDefault="008F1E85" w:rsidP="00A56298">
            <w:pPr>
              <w:spacing w:before="37"/>
              <w:ind w:left="108"/>
              <w:rPr>
                <w:rStyle w:val="ra"/>
                <w:lang w:val="sk-SK"/>
              </w:rPr>
            </w:pPr>
            <w:r w:rsidRPr="00BE7EC2">
              <w:rPr>
                <w:rStyle w:val="ra"/>
                <w:lang w:val="sk-SK"/>
              </w:rPr>
              <w:t xml:space="preserve">MERTEL, s. r. o. </w:t>
            </w:r>
          </w:p>
          <w:p w14:paraId="4E87FF14" w14:textId="77777777" w:rsidR="008F1E85" w:rsidRPr="00BE7EC2" w:rsidRDefault="008F1E85" w:rsidP="00A56298">
            <w:pPr>
              <w:spacing w:before="37"/>
              <w:ind w:left="108"/>
              <w:rPr>
                <w:rStyle w:val="ra"/>
                <w:rFonts w:cs="Arial"/>
                <w:b/>
                <w:bCs/>
                <w:color w:val="000000"/>
                <w:shd w:val="clear" w:color="auto" w:fill="FFFFFF"/>
                <w:lang w:val="sk-SK"/>
              </w:rPr>
            </w:pPr>
            <w:r w:rsidRPr="00BE7EC2">
              <w:rPr>
                <w:rStyle w:val="ra"/>
                <w:lang w:val="sk-SK"/>
              </w:rPr>
              <w:t>Skalná 11, 811 01 Bratislava - mestská časť Staré mesto 811 01</w:t>
            </w:r>
          </w:p>
          <w:p w14:paraId="52518B77" w14:textId="77777777" w:rsidR="008F1E85" w:rsidRPr="00BE7EC2" w:rsidRDefault="008F1E85" w:rsidP="00A56298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IČO: 35967412</w:t>
            </w:r>
          </w:p>
        </w:tc>
        <w:tc>
          <w:tcPr>
            <w:tcW w:w="2268" w:type="dxa"/>
            <w:vAlign w:val="center"/>
          </w:tcPr>
          <w:p w14:paraId="1D602EF9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10.05.2024</w:t>
            </w:r>
          </w:p>
          <w:p w14:paraId="0DF6B8AA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9:45:07</w:t>
            </w:r>
          </w:p>
        </w:tc>
      </w:tr>
      <w:tr w:rsidR="008F1E85" w:rsidRPr="00BE7EC2" w14:paraId="4849830F" w14:textId="77777777" w:rsidTr="00A56298">
        <w:trPr>
          <w:trHeight w:val="623"/>
        </w:trPr>
        <w:tc>
          <w:tcPr>
            <w:tcW w:w="1418" w:type="dxa"/>
            <w:vAlign w:val="center"/>
          </w:tcPr>
          <w:p w14:paraId="0575F464" w14:textId="77777777" w:rsidR="008F1E85" w:rsidRPr="00BE7EC2" w:rsidRDefault="008F1E85" w:rsidP="00A56298">
            <w:pPr>
              <w:ind w:left="198" w:right="193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 xml:space="preserve">6. </w:t>
            </w:r>
          </w:p>
        </w:tc>
        <w:tc>
          <w:tcPr>
            <w:tcW w:w="5670" w:type="dxa"/>
            <w:vAlign w:val="center"/>
          </w:tcPr>
          <w:p w14:paraId="192D41D3" w14:textId="77777777" w:rsidR="008F1E85" w:rsidRPr="00BE7EC2" w:rsidRDefault="008F1E85" w:rsidP="00A56298">
            <w:pPr>
              <w:spacing w:before="37"/>
              <w:ind w:left="108"/>
              <w:rPr>
                <w:rStyle w:val="ra"/>
                <w:lang w:val="sk-SK"/>
              </w:rPr>
            </w:pPr>
            <w:r w:rsidRPr="00BE7EC2">
              <w:rPr>
                <w:rStyle w:val="ra"/>
                <w:lang w:val="sk-SK"/>
              </w:rPr>
              <w:t xml:space="preserve">GUARANT International spol. s </w:t>
            </w:r>
            <w:proofErr w:type="spellStart"/>
            <w:r w:rsidRPr="00BE7EC2">
              <w:rPr>
                <w:rStyle w:val="ra"/>
                <w:lang w:val="sk-SK"/>
              </w:rPr>
              <w:t>r.o</w:t>
            </w:r>
            <w:proofErr w:type="spellEnd"/>
            <w:r w:rsidRPr="00BE7EC2">
              <w:rPr>
                <w:rStyle w:val="ra"/>
                <w:lang w:val="sk-SK"/>
              </w:rPr>
              <w:t xml:space="preserve">., </w:t>
            </w:r>
          </w:p>
          <w:p w14:paraId="7842F68B" w14:textId="77777777" w:rsidR="008F1E85" w:rsidRPr="00BE7EC2" w:rsidRDefault="008F1E85" w:rsidP="00A56298">
            <w:pPr>
              <w:spacing w:before="37"/>
              <w:ind w:left="108"/>
              <w:rPr>
                <w:rStyle w:val="ra"/>
                <w:lang w:val="sk-SK"/>
              </w:rPr>
            </w:pPr>
            <w:r w:rsidRPr="00BE7EC2">
              <w:rPr>
                <w:rStyle w:val="ra"/>
                <w:lang w:val="sk-SK"/>
              </w:rPr>
              <w:t xml:space="preserve">Českomoravská 2510/19, </w:t>
            </w:r>
            <w:proofErr w:type="spellStart"/>
            <w:r w:rsidRPr="00BE7EC2">
              <w:rPr>
                <w:rStyle w:val="ra"/>
                <w:lang w:val="sk-SK"/>
              </w:rPr>
              <w:t>Libeň</w:t>
            </w:r>
            <w:proofErr w:type="spellEnd"/>
            <w:r w:rsidRPr="00BE7EC2">
              <w:rPr>
                <w:rStyle w:val="ra"/>
                <w:lang w:val="sk-SK"/>
              </w:rPr>
              <w:t>, 190 00 Praha</w:t>
            </w:r>
          </w:p>
          <w:p w14:paraId="3BF929DC" w14:textId="77777777" w:rsidR="008F1E85" w:rsidRPr="00BE7EC2" w:rsidRDefault="008F1E85" w:rsidP="00A56298">
            <w:pPr>
              <w:spacing w:before="37"/>
              <w:ind w:left="108"/>
              <w:rPr>
                <w:rStyle w:val="ra"/>
                <w:lang w:val="sk-SK"/>
              </w:rPr>
            </w:pPr>
            <w:r w:rsidRPr="00BE7EC2">
              <w:rPr>
                <w:rStyle w:val="ra"/>
                <w:lang w:val="sk-SK"/>
              </w:rPr>
              <w:t>IČO: 45245401 – ponuka predložená po uplynutí lehoty na predkladanie ponúk</w:t>
            </w:r>
          </w:p>
        </w:tc>
        <w:tc>
          <w:tcPr>
            <w:tcW w:w="2268" w:type="dxa"/>
            <w:vAlign w:val="center"/>
          </w:tcPr>
          <w:p w14:paraId="60C79E08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10.05.2024</w:t>
            </w:r>
          </w:p>
          <w:p w14:paraId="65069330" w14:textId="77777777" w:rsidR="008F1E85" w:rsidRPr="00BE7EC2" w:rsidRDefault="008F1E85" w:rsidP="00A56298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lang w:val="sk-SK"/>
              </w:rPr>
              <w:t>10:00:40</w:t>
            </w:r>
          </w:p>
        </w:tc>
      </w:tr>
    </w:tbl>
    <w:p w14:paraId="4735C27F" w14:textId="77777777" w:rsidR="008F1E85" w:rsidRPr="00BE7EC2" w:rsidRDefault="008F1E85" w:rsidP="008F1E85">
      <w:pPr>
        <w:pStyle w:val="Zkladntext"/>
        <w:spacing w:before="101"/>
        <w:ind w:left="142" w:right="233"/>
        <w:jc w:val="both"/>
      </w:pPr>
    </w:p>
    <w:p w14:paraId="74735920" w14:textId="77777777" w:rsidR="008F1E85" w:rsidRPr="00BE7EC2" w:rsidRDefault="008F1E85" w:rsidP="008F1E85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E7EC2">
        <w:rPr>
          <w:rFonts w:eastAsia="Times New Roman" w:cs="Arial"/>
          <w:b/>
          <w:bCs/>
        </w:rPr>
        <w:t xml:space="preserve">Zoznam uchádzačov, ktorých ponuka nebola vyhodnocovaná </w:t>
      </w:r>
    </w:p>
    <w:p w14:paraId="082F1C69" w14:textId="77777777" w:rsidR="008F1E85" w:rsidRPr="00BE7EC2" w:rsidRDefault="008F1E85" w:rsidP="008F1E85">
      <w:pPr>
        <w:spacing w:before="37"/>
        <w:ind w:left="108"/>
      </w:pPr>
      <w:r w:rsidRPr="00BE7EC2">
        <w:t xml:space="preserve">Uchádzač (ponuka) č. 6 – </w:t>
      </w:r>
      <w:r w:rsidRPr="00BE7EC2">
        <w:rPr>
          <w:rStyle w:val="ra"/>
        </w:rPr>
        <w:t xml:space="preserve">GUARANT International spol. s </w:t>
      </w:r>
      <w:proofErr w:type="spellStart"/>
      <w:r w:rsidRPr="00BE7EC2">
        <w:rPr>
          <w:rStyle w:val="ra"/>
        </w:rPr>
        <w:t>r.o</w:t>
      </w:r>
      <w:proofErr w:type="spellEnd"/>
      <w:r w:rsidRPr="00BE7EC2">
        <w:rPr>
          <w:rStyle w:val="ra"/>
        </w:rPr>
        <w:t xml:space="preserve">., Českomoravská 2510/19, </w:t>
      </w:r>
      <w:proofErr w:type="spellStart"/>
      <w:r w:rsidRPr="00BE7EC2">
        <w:rPr>
          <w:rStyle w:val="ra"/>
        </w:rPr>
        <w:t>Libeň</w:t>
      </w:r>
      <w:proofErr w:type="spellEnd"/>
      <w:r w:rsidRPr="00BE7EC2">
        <w:rPr>
          <w:rStyle w:val="ra"/>
        </w:rPr>
        <w:t>, 190 00 Praha IČO: 45245401</w:t>
      </w:r>
    </w:p>
    <w:p w14:paraId="12619E52" w14:textId="77777777" w:rsidR="008F1E85" w:rsidRPr="00BE7EC2" w:rsidRDefault="008F1E85" w:rsidP="008F1E85">
      <w:pPr>
        <w:pStyle w:val="Zkladntext"/>
        <w:spacing w:before="120"/>
        <w:ind w:left="142" w:right="232"/>
        <w:jc w:val="both"/>
      </w:pPr>
      <w:r w:rsidRPr="00BE7EC2">
        <w:t>Podľa systémových záznamov v systéme JOSEPHINE bola ponuka predložená v čase 10:00:40, t. j. po uplynutí stanovenej lehoty na predkladanie ponúk.</w:t>
      </w:r>
    </w:p>
    <w:p w14:paraId="46036FC7" w14:textId="77777777" w:rsidR="008F1E85" w:rsidRPr="00BE7EC2" w:rsidRDefault="008F1E85" w:rsidP="008F1E85">
      <w:pPr>
        <w:pStyle w:val="Zkladntext"/>
        <w:spacing w:before="120"/>
        <w:ind w:left="142" w:right="232"/>
        <w:jc w:val="both"/>
      </w:pPr>
      <w:r w:rsidRPr="00BE7EC2">
        <w:t>Podľa § 49 ods. 3 písm. a) zákona o verejnom obstarávaní ponuka predložená po uplynutí lehoty na predkladanie ponúk sa nesprístupní, ak je predložená v elektronickej podobe. V súlade s týmto zákonným ustanovením predmetná ponuka nebola sprístupnená (otvorená) a nebola ani hodnotená.</w:t>
      </w:r>
    </w:p>
    <w:p w14:paraId="0CE403C8" w14:textId="77777777" w:rsidR="008F1E85" w:rsidRPr="00BE7EC2" w:rsidRDefault="008F1E85" w:rsidP="008F1E85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E7EC2">
        <w:rPr>
          <w:rFonts w:eastAsia="Times New Roman" w:cs="Arial"/>
          <w:b/>
          <w:bCs/>
        </w:rPr>
        <w:t xml:space="preserve">Vyhodnotenie ponúk predložených v lehote na predkladanie ponúk </w:t>
      </w:r>
      <w:r w:rsidRPr="00BE7EC2">
        <w:rPr>
          <w:rFonts w:eastAsia="Times New Roman" w:cs="Arial"/>
          <w:b/>
          <w:bCs/>
          <w:lang w:bidi="ar-SA"/>
        </w:rPr>
        <w:t>:</w:t>
      </w:r>
    </w:p>
    <w:p w14:paraId="61508D2F" w14:textId="194DFC1E" w:rsidR="00034EA8" w:rsidRPr="00BE7EC2" w:rsidRDefault="008F1E85" w:rsidP="00034EA8">
      <w:pPr>
        <w:pStyle w:val="Zkladntext"/>
        <w:spacing w:before="101"/>
        <w:ind w:left="142" w:right="233"/>
        <w:jc w:val="both"/>
      </w:pPr>
      <w:r w:rsidRPr="00BE7EC2">
        <w:t>V súlade s požiadavkou uvedenou v súťažných podkladoch</w:t>
      </w:r>
      <w:r w:rsidR="004F12E1" w:rsidRPr="00BE7EC2">
        <w:t xml:space="preserve"> mali</w:t>
      </w:r>
      <w:r w:rsidR="00124D70" w:rsidRPr="00BE7EC2">
        <w:t xml:space="preserve"> byť</w:t>
      </w:r>
      <w:r w:rsidR="004F12E1" w:rsidRPr="00BE7EC2">
        <w:t xml:space="preserve"> </w:t>
      </w:r>
      <w:r w:rsidR="007D3C41" w:rsidRPr="00BE7EC2">
        <w:t xml:space="preserve">ponuky </w:t>
      </w:r>
      <w:r w:rsidR="00BE7EC2">
        <w:t xml:space="preserve">uchádzačov </w:t>
      </w:r>
      <w:r w:rsidR="007D3C41" w:rsidRPr="00BE7EC2">
        <w:t xml:space="preserve">pre </w:t>
      </w:r>
      <w:r w:rsidR="004F12E1" w:rsidRPr="00BE7EC2">
        <w:t>časť</w:t>
      </w:r>
      <w:r w:rsidR="007D3C41" w:rsidRPr="00BE7EC2">
        <w:t xml:space="preserve"> „Všeobecná časť“ zaheslované. Po vyhodnotení ponúk v časti Koncept boli uchádzači vyzvaní prostredníctvom komunikačného modulu na predloženie hesiel, aby bolo možné sprístupniť obsah ponúk „Všeobecná časť“. </w:t>
      </w:r>
      <w:r w:rsidR="00034EA8" w:rsidRPr="00BE7EC2">
        <w:t xml:space="preserve"> </w:t>
      </w:r>
      <w:r w:rsidR="007D3C41" w:rsidRPr="00BE7EC2">
        <w:t xml:space="preserve">Ponuky všetkých uchádzačov, ktorí predložili </w:t>
      </w:r>
      <w:r w:rsidR="00034EA8" w:rsidRPr="00BE7EC2">
        <w:t xml:space="preserve">svoju </w:t>
      </w:r>
      <w:r w:rsidR="007D3C41" w:rsidRPr="00BE7EC2">
        <w:t>ponuku v lehote na predkladanie ponúk boli sprístupnen</w:t>
      </w:r>
      <w:r w:rsidR="00034EA8" w:rsidRPr="00BE7EC2">
        <w:t xml:space="preserve">é. </w:t>
      </w:r>
    </w:p>
    <w:p w14:paraId="770A8BA5" w14:textId="788118EB" w:rsidR="00124D70" w:rsidRPr="00BE7EC2" w:rsidRDefault="008A09CC" w:rsidP="00124D70">
      <w:pPr>
        <w:pStyle w:val="Zkladntext"/>
        <w:spacing w:before="101"/>
        <w:ind w:left="142" w:right="233"/>
        <w:jc w:val="both"/>
      </w:pPr>
      <w:r w:rsidRPr="00BE7EC2">
        <w:t>K</w:t>
      </w:r>
      <w:r w:rsidR="00034EA8" w:rsidRPr="00BE7EC2">
        <w:t xml:space="preserve">omisia na vyhodnotenie ponúk </w:t>
      </w:r>
      <w:r w:rsidR="00124D70" w:rsidRPr="00BE7EC2">
        <w:t xml:space="preserve">(ďalej ako „komisia“) </w:t>
      </w:r>
      <w:r w:rsidR="00034EA8" w:rsidRPr="00BE7EC2">
        <w:t>pristúpila k zostaveniu poradia na základe kritérií na vyhodnotenie ponúk. Návrhy cien uchádzačov z časti „Všeobecná časť“ boli dosadené do hodnotiaceho vzorca pre kritérium najnižšej ceny a každému uchádzačovi bolo priradené príslušné</w:t>
      </w:r>
      <w:r w:rsidR="00124D70" w:rsidRPr="00BE7EC2">
        <w:t xml:space="preserve"> bodové hodnotenie (max. 70 bodov). </w:t>
      </w:r>
    </w:p>
    <w:p w14:paraId="022FE179" w14:textId="77777777" w:rsidR="00124D70" w:rsidRPr="00BE7EC2" w:rsidRDefault="00124D70" w:rsidP="00124D70">
      <w:pPr>
        <w:pStyle w:val="Zkladntext"/>
        <w:spacing w:before="101"/>
        <w:ind w:left="142" w:right="233"/>
        <w:jc w:val="both"/>
      </w:pPr>
    </w:p>
    <w:tbl>
      <w:tblPr>
        <w:tblStyle w:val="TableNormal1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4110"/>
        <w:gridCol w:w="1843"/>
        <w:gridCol w:w="1980"/>
      </w:tblGrid>
      <w:tr w:rsidR="008906C0" w:rsidRPr="00BE7EC2" w14:paraId="1C3E5F0B" w14:textId="400A788D" w:rsidTr="008A09CC">
        <w:trPr>
          <w:trHeight w:val="566"/>
          <w:jc w:val="center"/>
        </w:trPr>
        <w:tc>
          <w:tcPr>
            <w:tcW w:w="1281" w:type="dxa"/>
            <w:shd w:val="clear" w:color="auto" w:fill="DFDFDF"/>
            <w:vAlign w:val="center"/>
          </w:tcPr>
          <w:p w14:paraId="70BAAB07" w14:textId="5F15A1CA" w:rsidR="008906C0" w:rsidRPr="00BE7EC2" w:rsidRDefault="008906C0" w:rsidP="008A09CC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Ponuka</w:t>
            </w:r>
            <w:r w:rsidR="008A09CC" w:rsidRPr="00BE7EC2">
              <w:rPr>
                <w:b/>
                <w:lang w:val="sk-SK" w:eastAsia="en-US"/>
              </w:rPr>
              <w:t xml:space="preserve"> </w:t>
            </w:r>
            <w:r w:rsidRPr="00BE7EC2">
              <w:rPr>
                <w:b/>
                <w:lang w:val="sk-SK" w:eastAsia="en-US"/>
              </w:rPr>
              <w:t>č.</w:t>
            </w:r>
          </w:p>
        </w:tc>
        <w:tc>
          <w:tcPr>
            <w:tcW w:w="4110" w:type="dxa"/>
            <w:shd w:val="clear" w:color="auto" w:fill="DFDFDF"/>
            <w:vAlign w:val="center"/>
          </w:tcPr>
          <w:p w14:paraId="69B0749A" w14:textId="108F6BE4" w:rsidR="008906C0" w:rsidRPr="00BE7EC2" w:rsidRDefault="008A09CC" w:rsidP="008A09CC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Uchádzač</w:t>
            </w:r>
          </w:p>
        </w:tc>
        <w:tc>
          <w:tcPr>
            <w:tcW w:w="1843" w:type="dxa"/>
            <w:shd w:val="clear" w:color="auto" w:fill="DFDFDF"/>
          </w:tcPr>
          <w:p w14:paraId="3176238B" w14:textId="32093D4E" w:rsidR="008906C0" w:rsidRPr="00BE7EC2" w:rsidRDefault="008906C0" w:rsidP="008A09CC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Ponuková cena</w:t>
            </w:r>
          </w:p>
        </w:tc>
        <w:tc>
          <w:tcPr>
            <w:tcW w:w="1980" w:type="dxa"/>
            <w:shd w:val="clear" w:color="auto" w:fill="DFDFDF"/>
          </w:tcPr>
          <w:p w14:paraId="6CBF8379" w14:textId="59F80B8B" w:rsidR="008906C0" w:rsidRPr="00BE7EC2" w:rsidRDefault="008A09CC" w:rsidP="008A09CC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Body</w:t>
            </w:r>
          </w:p>
        </w:tc>
      </w:tr>
      <w:tr w:rsidR="008A09CC" w:rsidRPr="00BE7EC2" w14:paraId="3C2F60EC" w14:textId="0A23B963" w:rsidTr="008A09CC">
        <w:trPr>
          <w:trHeight w:val="709"/>
          <w:jc w:val="center"/>
        </w:trPr>
        <w:tc>
          <w:tcPr>
            <w:tcW w:w="1281" w:type="dxa"/>
            <w:vAlign w:val="center"/>
          </w:tcPr>
          <w:p w14:paraId="1FD0F0C8" w14:textId="77777777" w:rsidR="008A09CC" w:rsidRPr="00BE7EC2" w:rsidRDefault="008A09CC" w:rsidP="008A09CC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1.</w:t>
            </w:r>
          </w:p>
        </w:tc>
        <w:tc>
          <w:tcPr>
            <w:tcW w:w="4110" w:type="dxa"/>
            <w:vAlign w:val="center"/>
          </w:tcPr>
          <w:p w14:paraId="0303F8EB" w14:textId="733F9642" w:rsidR="008A09CC" w:rsidRPr="00BE7EC2" w:rsidRDefault="008A09CC" w:rsidP="008A09CC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 xml:space="preserve">CREATIVE PRO a.s., </w:t>
            </w:r>
          </w:p>
        </w:tc>
        <w:tc>
          <w:tcPr>
            <w:tcW w:w="1843" w:type="dxa"/>
            <w:vAlign w:val="center"/>
          </w:tcPr>
          <w:p w14:paraId="6B1FC0AB" w14:textId="64C1481E" w:rsidR="008A09CC" w:rsidRPr="00BE7EC2" w:rsidRDefault="008A09CC" w:rsidP="008A09CC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rFonts w:cs="Arial"/>
                <w:lang w:val="sk-SK"/>
              </w:rPr>
              <w:t>274 130,64</w:t>
            </w:r>
          </w:p>
        </w:tc>
        <w:tc>
          <w:tcPr>
            <w:tcW w:w="1980" w:type="dxa"/>
            <w:vAlign w:val="center"/>
          </w:tcPr>
          <w:p w14:paraId="178BCB55" w14:textId="29AA6710" w:rsidR="008A09CC" w:rsidRPr="00BE7EC2" w:rsidRDefault="008A09CC" w:rsidP="008A09C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65,87</w:t>
            </w:r>
          </w:p>
        </w:tc>
      </w:tr>
      <w:tr w:rsidR="008A09CC" w:rsidRPr="00BE7EC2" w14:paraId="4206E03C" w14:textId="6904307A" w:rsidTr="008A09CC">
        <w:trPr>
          <w:trHeight w:val="592"/>
          <w:jc w:val="center"/>
        </w:trPr>
        <w:tc>
          <w:tcPr>
            <w:tcW w:w="1281" w:type="dxa"/>
            <w:vAlign w:val="center"/>
          </w:tcPr>
          <w:p w14:paraId="00A620DE" w14:textId="77777777" w:rsidR="008A09CC" w:rsidRPr="00BE7EC2" w:rsidRDefault="008A09CC" w:rsidP="008A09CC">
            <w:pPr>
              <w:spacing w:before="167"/>
              <w:ind w:left="198" w:right="191"/>
              <w:jc w:val="center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>2.</w:t>
            </w:r>
          </w:p>
        </w:tc>
        <w:tc>
          <w:tcPr>
            <w:tcW w:w="4110" w:type="dxa"/>
            <w:vAlign w:val="center"/>
          </w:tcPr>
          <w:p w14:paraId="06F66E1E" w14:textId="762F88AE" w:rsidR="008A09CC" w:rsidRPr="00BE7EC2" w:rsidRDefault="008A09CC" w:rsidP="008A09CC">
            <w:pPr>
              <w:spacing w:before="37"/>
              <w:ind w:left="108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>VIVA EVENTS, s.r.o.</w:t>
            </w:r>
          </w:p>
        </w:tc>
        <w:tc>
          <w:tcPr>
            <w:tcW w:w="1843" w:type="dxa"/>
            <w:vAlign w:val="center"/>
          </w:tcPr>
          <w:p w14:paraId="7716D56E" w14:textId="0E2F8DA1" w:rsidR="008A09CC" w:rsidRPr="00BE7EC2" w:rsidRDefault="008A09CC" w:rsidP="008A09CC">
            <w:pPr>
              <w:spacing w:before="37"/>
              <w:ind w:left="108"/>
              <w:jc w:val="center"/>
              <w:rPr>
                <w:b/>
                <w:bCs/>
                <w:lang w:val="sk-SK"/>
              </w:rPr>
            </w:pPr>
            <w:r w:rsidRPr="00BE7EC2">
              <w:rPr>
                <w:rFonts w:cs="Arial"/>
                <w:b/>
                <w:bCs/>
                <w:lang w:val="sk-SK"/>
              </w:rPr>
              <w:t>268 011,46</w:t>
            </w:r>
          </w:p>
        </w:tc>
        <w:tc>
          <w:tcPr>
            <w:tcW w:w="1980" w:type="dxa"/>
            <w:vAlign w:val="center"/>
          </w:tcPr>
          <w:p w14:paraId="60C4A5CA" w14:textId="094088A1" w:rsidR="008A09CC" w:rsidRPr="00BE7EC2" w:rsidRDefault="008A09CC" w:rsidP="008A09CC">
            <w:pPr>
              <w:spacing w:before="37"/>
              <w:ind w:left="108"/>
              <w:jc w:val="center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>70</w:t>
            </w:r>
          </w:p>
        </w:tc>
      </w:tr>
      <w:tr w:rsidR="008A09CC" w:rsidRPr="00BE7EC2" w14:paraId="3742F9B3" w14:textId="73191EAE" w:rsidTr="008A09CC">
        <w:trPr>
          <w:trHeight w:val="592"/>
          <w:jc w:val="center"/>
        </w:trPr>
        <w:tc>
          <w:tcPr>
            <w:tcW w:w="1281" w:type="dxa"/>
            <w:vAlign w:val="center"/>
          </w:tcPr>
          <w:p w14:paraId="1CD540A1" w14:textId="77777777" w:rsidR="008A09CC" w:rsidRPr="00BE7EC2" w:rsidRDefault="008A09CC" w:rsidP="008A09CC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3.</w:t>
            </w:r>
          </w:p>
        </w:tc>
        <w:tc>
          <w:tcPr>
            <w:tcW w:w="4110" w:type="dxa"/>
            <w:vAlign w:val="center"/>
          </w:tcPr>
          <w:p w14:paraId="04ED421F" w14:textId="3FE29BB3" w:rsidR="008A09CC" w:rsidRPr="00BE7EC2" w:rsidRDefault="008A09CC" w:rsidP="008A09CC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 xml:space="preserve">LEOPARD PRODUCTION, s. r. o. </w:t>
            </w:r>
          </w:p>
        </w:tc>
        <w:tc>
          <w:tcPr>
            <w:tcW w:w="1843" w:type="dxa"/>
            <w:vAlign w:val="center"/>
          </w:tcPr>
          <w:p w14:paraId="475587AE" w14:textId="637AED0F" w:rsidR="008A09CC" w:rsidRPr="00BE7EC2" w:rsidRDefault="008A09CC" w:rsidP="008A09CC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rFonts w:cs="Arial"/>
                <w:lang w:val="sk-SK"/>
              </w:rPr>
              <w:t>284 796,00</w:t>
            </w:r>
          </w:p>
        </w:tc>
        <w:tc>
          <w:tcPr>
            <w:tcW w:w="1980" w:type="dxa"/>
            <w:vAlign w:val="center"/>
          </w:tcPr>
          <w:p w14:paraId="25BAF36C" w14:textId="0BC63915" w:rsidR="008A09CC" w:rsidRPr="00BE7EC2" w:rsidRDefault="008A09CC" w:rsidP="008A09C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68,44</w:t>
            </w:r>
          </w:p>
        </w:tc>
      </w:tr>
      <w:tr w:rsidR="008A09CC" w:rsidRPr="00BE7EC2" w14:paraId="226C1D31" w14:textId="1019339B" w:rsidTr="008A09CC">
        <w:trPr>
          <w:trHeight w:val="592"/>
          <w:jc w:val="center"/>
        </w:trPr>
        <w:tc>
          <w:tcPr>
            <w:tcW w:w="1281" w:type="dxa"/>
            <w:vAlign w:val="center"/>
          </w:tcPr>
          <w:p w14:paraId="1F72198D" w14:textId="77777777" w:rsidR="008A09CC" w:rsidRPr="00BE7EC2" w:rsidRDefault="008A09CC" w:rsidP="008A09CC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4.</w:t>
            </w:r>
          </w:p>
        </w:tc>
        <w:tc>
          <w:tcPr>
            <w:tcW w:w="4110" w:type="dxa"/>
            <w:vAlign w:val="center"/>
          </w:tcPr>
          <w:p w14:paraId="01C08E95" w14:textId="66E7CE4F" w:rsidR="008A09CC" w:rsidRPr="00BE7EC2" w:rsidRDefault="008A09CC" w:rsidP="008A09CC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E-MOTION s.r.o.</w:t>
            </w:r>
          </w:p>
        </w:tc>
        <w:tc>
          <w:tcPr>
            <w:tcW w:w="1843" w:type="dxa"/>
            <w:vAlign w:val="center"/>
          </w:tcPr>
          <w:p w14:paraId="25FE28B3" w14:textId="61647D66" w:rsidR="008A09CC" w:rsidRPr="00BE7EC2" w:rsidRDefault="008A09CC" w:rsidP="008A09CC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rFonts w:cs="Arial"/>
                <w:lang w:val="sk-SK"/>
              </w:rPr>
              <w:t>294 796,37</w:t>
            </w:r>
          </w:p>
        </w:tc>
        <w:tc>
          <w:tcPr>
            <w:tcW w:w="1980" w:type="dxa"/>
            <w:vAlign w:val="center"/>
          </w:tcPr>
          <w:p w14:paraId="31DD6BB8" w14:textId="4E889961" w:rsidR="008A09CC" w:rsidRPr="00BE7EC2" w:rsidRDefault="008A09CC" w:rsidP="008A09C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63,64</w:t>
            </w:r>
          </w:p>
        </w:tc>
      </w:tr>
      <w:tr w:rsidR="008A09CC" w:rsidRPr="00BE7EC2" w14:paraId="5510DBAD" w14:textId="167A4458" w:rsidTr="008A09CC">
        <w:trPr>
          <w:trHeight w:val="623"/>
          <w:jc w:val="center"/>
        </w:trPr>
        <w:tc>
          <w:tcPr>
            <w:tcW w:w="1281" w:type="dxa"/>
            <w:vAlign w:val="center"/>
          </w:tcPr>
          <w:p w14:paraId="28A8A330" w14:textId="77777777" w:rsidR="008A09CC" w:rsidRPr="00BE7EC2" w:rsidRDefault="008A09CC" w:rsidP="008A09CC">
            <w:pPr>
              <w:ind w:left="198" w:right="193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lastRenderedPageBreak/>
              <w:t>5.</w:t>
            </w:r>
          </w:p>
        </w:tc>
        <w:tc>
          <w:tcPr>
            <w:tcW w:w="4110" w:type="dxa"/>
            <w:vAlign w:val="center"/>
          </w:tcPr>
          <w:p w14:paraId="7026F156" w14:textId="079463E6" w:rsidR="008A09CC" w:rsidRPr="00BE7EC2" w:rsidRDefault="008A09CC" w:rsidP="008A09CC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rStyle w:val="ra"/>
                <w:lang w:val="sk-SK"/>
              </w:rPr>
              <w:t xml:space="preserve">MERTEL, s. r. o. </w:t>
            </w:r>
          </w:p>
        </w:tc>
        <w:tc>
          <w:tcPr>
            <w:tcW w:w="1843" w:type="dxa"/>
            <w:vAlign w:val="center"/>
          </w:tcPr>
          <w:p w14:paraId="6514410F" w14:textId="1176AA42" w:rsidR="008A09CC" w:rsidRPr="00BE7EC2" w:rsidRDefault="008A09CC" w:rsidP="008A09CC">
            <w:pPr>
              <w:spacing w:before="37"/>
              <w:ind w:left="108"/>
              <w:jc w:val="center"/>
              <w:rPr>
                <w:lang w:val="sk-SK"/>
              </w:rPr>
            </w:pPr>
            <w:r w:rsidRPr="00BE7EC2">
              <w:rPr>
                <w:rFonts w:cs="Arial"/>
                <w:lang w:val="sk-SK"/>
              </w:rPr>
              <w:t>281 205,10</w:t>
            </w:r>
          </w:p>
        </w:tc>
        <w:tc>
          <w:tcPr>
            <w:tcW w:w="1980" w:type="dxa"/>
            <w:vAlign w:val="center"/>
          </w:tcPr>
          <w:p w14:paraId="6B9C96EB" w14:textId="69711004" w:rsidR="008A09CC" w:rsidRPr="00BE7EC2" w:rsidRDefault="008A09CC" w:rsidP="008A09CC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66,72</w:t>
            </w:r>
          </w:p>
        </w:tc>
      </w:tr>
    </w:tbl>
    <w:p w14:paraId="761CBB18" w14:textId="77777777" w:rsidR="00124D70" w:rsidRPr="00BE7EC2" w:rsidRDefault="00124D70" w:rsidP="00124D70">
      <w:pPr>
        <w:pStyle w:val="Zkladntext"/>
        <w:spacing w:before="101"/>
        <w:ind w:left="142" w:right="233"/>
        <w:jc w:val="both"/>
      </w:pPr>
    </w:p>
    <w:p w14:paraId="379FD622" w14:textId="6F98CFE8" w:rsidR="00034EA8" w:rsidRPr="00BE7EC2" w:rsidRDefault="00124D70" w:rsidP="00124D70">
      <w:pPr>
        <w:pStyle w:val="Zkladntext"/>
        <w:spacing w:before="101"/>
        <w:ind w:left="142" w:right="233"/>
        <w:jc w:val="both"/>
      </w:pPr>
      <w:r w:rsidRPr="00BE7EC2">
        <w:t>Následne komisia sčítala</w:t>
      </w:r>
      <w:r w:rsidR="008A09CC" w:rsidRPr="00BE7EC2">
        <w:t xml:space="preserve"> body</w:t>
      </w:r>
      <w:r w:rsidRPr="00BE7EC2">
        <w:t xml:space="preserve"> pridelené za obe hodnotiace kritériá (kvalita konceptu a najnižšia cena) a zostavila nasledovné výsledné poradie:</w:t>
      </w:r>
    </w:p>
    <w:p w14:paraId="1E5674F8" w14:textId="77777777" w:rsidR="008A09CC" w:rsidRPr="00BE7EC2" w:rsidRDefault="008A09CC" w:rsidP="00124D70">
      <w:pPr>
        <w:pStyle w:val="Zkladntext"/>
        <w:spacing w:before="101"/>
        <w:ind w:left="142" w:right="233"/>
        <w:jc w:val="both"/>
      </w:pPr>
    </w:p>
    <w:tbl>
      <w:tblPr>
        <w:tblStyle w:val="TableNormal1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701"/>
        <w:gridCol w:w="1701"/>
        <w:gridCol w:w="1701"/>
      </w:tblGrid>
      <w:tr w:rsidR="008A09CC" w:rsidRPr="00BE7EC2" w14:paraId="12EB36BA" w14:textId="77777777" w:rsidTr="008A09CC">
        <w:trPr>
          <w:trHeight w:val="566"/>
        </w:trPr>
        <w:tc>
          <w:tcPr>
            <w:tcW w:w="851" w:type="dxa"/>
            <w:shd w:val="clear" w:color="auto" w:fill="DFDFDF"/>
            <w:vAlign w:val="center"/>
          </w:tcPr>
          <w:p w14:paraId="33A1D041" w14:textId="77777777" w:rsidR="008A09CC" w:rsidRPr="00BE7EC2" w:rsidRDefault="008A09CC" w:rsidP="00A56298">
            <w:pPr>
              <w:spacing w:before="155"/>
              <w:ind w:left="201" w:right="191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Poradie</w:t>
            </w:r>
          </w:p>
        </w:tc>
        <w:tc>
          <w:tcPr>
            <w:tcW w:w="3402" w:type="dxa"/>
            <w:shd w:val="clear" w:color="auto" w:fill="DFDFDF"/>
            <w:vAlign w:val="center"/>
          </w:tcPr>
          <w:p w14:paraId="7CD244E3" w14:textId="5DA6C6A9" w:rsidR="008A09CC" w:rsidRPr="00BE7EC2" w:rsidRDefault="008A09CC" w:rsidP="00A56298">
            <w:pPr>
              <w:spacing w:line="257" w:lineRule="exact"/>
              <w:ind w:left="230" w:right="220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Uchádzač</w:t>
            </w:r>
          </w:p>
        </w:tc>
        <w:tc>
          <w:tcPr>
            <w:tcW w:w="1701" w:type="dxa"/>
            <w:shd w:val="clear" w:color="auto" w:fill="DFDFDF"/>
          </w:tcPr>
          <w:p w14:paraId="29A9BA18" w14:textId="77777777" w:rsidR="008A09CC" w:rsidRPr="00BE7EC2" w:rsidRDefault="008A09CC" w:rsidP="00A56298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Počet bodov “Koncept” (max. 30)</w:t>
            </w:r>
          </w:p>
        </w:tc>
        <w:tc>
          <w:tcPr>
            <w:tcW w:w="1701" w:type="dxa"/>
            <w:shd w:val="clear" w:color="auto" w:fill="DFDFDF"/>
          </w:tcPr>
          <w:p w14:paraId="6F54E77C" w14:textId="77777777" w:rsidR="008A09CC" w:rsidRPr="00BE7EC2" w:rsidRDefault="008A09CC" w:rsidP="00A56298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Počet bodov “Všeobecná časť” (max. 70)</w:t>
            </w:r>
          </w:p>
        </w:tc>
        <w:tc>
          <w:tcPr>
            <w:tcW w:w="1701" w:type="dxa"/>
            <w:shd w:val="clear" w:color="auto" w:fill="DFDFDF"/>
          </w:tcPr>
          <w:p w14:paraId="274165CD" w14:textId="77777777" w:rsidR="008A09CC" w:rsidRPr="00BE7EC2" w:rsidRDefault="008A09CC" w:rsidP="00A56298">
            <w:pPr>
              <w:spacing w:before="26" w:line="257" w:lineRule="exact"/>
              <w:ind w:left="230" w:right="223"/>
              <w:jc w:val="center"/>
              <w:rPr>
                <w:b/>
                <w:lang w:val="sk-SK" w:eastAsia="en-US"/>
              </w:rPr>
            </w:pPr>
            <w:r w:rsidRPr="00BE7EC2">
              <w:rPr>
                <w:b/>
                <w:lang w:val="sk-SK" w:eastAsia="en-US"/>
              </w:rPr>
              <w:t>Celkový počet bodov (max. 100)</w:t>
            </w:r>
          </w:p>
        </w:tc>
      </w:tr>
      <w:tr w:rsidR="008A09CC" w:rsidRPr="00BE7EC2" w14:paraId="4B319F7C" w14:textId="77777777" w:rsidTr="008A09CC">
        <w:trPr>
          <w:trHeight w:val="709"/>
        </w:trPr>
        <w:tc>
          <w:tcPr>
            <w:tcW w:w="851" w:type="dxa"/>
            <w:vAlign w:val="center"/>
          </w:tcPr>
          <w:p w14:paraId="649F3B76" w14:textId="77777777" w:rsidR="008A09CC" w:rsidRPr="00BE7EC2" w:rsidRDefault="008A09CC" w:rsidP="00A56298">
            <w:pPr>
              <w:spacing w:before="167"/>
              <w:ind w:left="198" w:right="191"/>
              <w:jc w:val="center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>1.</w:t>
            </w:r>
          </w:p>
        </w:tc>
        <w:tc>
          <w:tcPr>
            <w:tcW w:w="3402" w:type="dxa"/>
            <w:vAlign w:val="center"/>
          </w:tcPr>
          <w:p w14:paraId="72EE1D04" w14:textId="0531B96E" w:rsidR="008A09CC" w:rsidRPr="00BE7EC2" w:rsidRDefault="008A09CC" w:rsidP="008A09CC">
            <w:pPr>
              <w:spacing w:before="37"/>
              <w:ind w:left="108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 xml:space="preserve">LEOPARD PRODUCTION, s. r. o. </w:t>
            </w:r>
          </w:p>
        </w:tc>
        <w:tc>
          <w:tcPr>
            <w:tcW w:w="1701" w:type="dxa"/>
          </w:tcPr>
          <w:p w14:paraId="33DC1DC9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>23,1</w:t>
            </w:r>
          </w:p>
        </w:tc>
        <w:tc>
          <w:tcPr>
            <w:tcW w:w="1701" w:type="dxa"/>
          </w:tcPr>
          <w:p w14:paraId="1E6F8143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>65,87</w:t>
            </w:r>
          </w:p>
        </w:tc>
        <w:tc>
          <w:tcPr>
            <w:tcW w:w="1701" w:type="dxa"/>
          </w:tcPr>
          <w:p w14:paraId="36BEA7A1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b/>
                <w:bCs/>
                <w:lang w:val="sk-SK" w:eastAsia="en-US"/>
              </w:rPr>
            </w:pPr>
            <w:r w:rsidRPr="00BE7EC2">
              <w:rPr>
                <w:b/>
                <w:bCs/>
                <w:lang w:val="sk-SK" w:eastAsia="en-US"/>
              </w:rPr>
              <w:t>88,97</w:t>
            </w:r>
          </w:p>
        </w:tc>
      </w:tr>
      <w:tr w:rsidR="008A09CC" w:rsidRPr="00BE7EC2" w14:paraId="62EA48C2" w14:textId="77777777" w:rsidTr="008A09CC">
        <w:trPr>
          <w:trHeight w:val="592"/>
        </w:trPr>
        <w:tc>
          <w:tcPr>
            <w:tcW w:w="851" w:type="dxa"/>
            <w:vAlign w:val="center"/>
          </w:tcPr>
          <w:p w14:paraId="49C02346" w14:textId="77777777" w:rsidR="008A09CC" w:rsidRPr="00BE7EC2" w:rsidRDefault="008A09CC" w:rsidP="00A56298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2.</w:t>
            </w:r>
          </w:p>
        </w:tc>
        <w:tc>
          <w:tcPr>
            <w:tcW w:w="3402" w:type="dxa"/>
            <w:vAlign w:val="center"/>
          </w:tcPr>
          <w:p w14:paraId="2CDF75A5" w14:textId="0F716CE8" w:rsidR="008A09CC" w:rsidRPr="00BE7EC2" w:rsidRDefault="008A09CC" w:rsidP="008A09CC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VIVA EVENTS, s.r.o.</w:t>
            </w:r>
          </w:p>
        </w:tc>
        <w:tc>
          <w:tcPr>
            <w:tcW w:w="1701" w:type="dxa"/>
          </w:tcPr>
          <w:p w14:paraId="13B110D0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17,4</w:t>
            </w:r>
          </w:p>
        </w:tc>
        <w:tc>
          <w:tcPr>
            <w:tcW w:w="1701" w:type="dxa"/>
          </w:tcPr>
          <w:p w14:paraId="0ADEB530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70</w:t>
            </w:r>
          </w:p>
        </w:tc>
        <w:tc>
          <w:tcPr>
            <w:tcW w:w="1701" w:type="dxa"/>
          </w:tcPr>
          <w:p w14:paraId="1CD999B4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87,4</w:t>
            </w:r>
          </w:p>
        </w:tc>
      </w:tr>
      <w:tr w:rsidR="008A09CC" w:rsidRPr="00BE7EC2" w14:paraId="310EEA39" w14:textId="77777777" w:rsidTr="008A09CC">
        <w:trPr>
          <w:trHeight w:val="592"/>
        </w:trPr>
        <w:tc>
          <w:tcPr>
            <w:tcW w:w="851" w:type="dxa"/>
            <w:vAlign w:val="center"/>
          </w:tcPr>
          <w:p w14:paraId="50F6276C" w14:textId="77777777" w:rsidR="008A09CC" w:rsidRPr="00BE7EC2" w:rsidRDefault="008A09CC" w:rsidP="00A56298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3.</w:t>
            </w:r>
          </w:p>
        </w:tc>
        <w:tc>
          <w:tcPr>
            <w:tcW w:w="3402" w:type="dxa"/>
            <w:vAlign w:val="center"/>
          </w:tcPr>
          <w:p w14:paraId="7EA1CCE2" w14:textId="785D4553" w:rsidR="008A09CC" w:rsidRPr="00BE7EC2" w:rsidRDefault="008A09CC" w:rsidP="008A09CC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 xml:space="preserve">CREATIVE PRO a.s., </w:t>
            </w:r>
          </w:p>
        </w:tc>
        <w:tc>
          <w:tcPr>
            <w:tcW w:w="1701" w:type="dxa"/>
          </w:tcPr>
          <w:p w14:paraId="203E02EC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16,8</w:t>
            </w:r>
          </w:p>
        </w:tc>
        <w:tc>
          <w:tcPr>
            <w:tcW w:w="1701" w:type="dxa"/>
          </w:tcPr>
          <w:p w14:paraId="0602E54A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68,44</w:t>
            </w:r>
          </w:p>
        </w:tc>
        <w:tc>
          <w:tcPr>
            <w:tcW w:w="1701" w:type="dxa"/>
          </w:tcPr>
          <w:p w14:paraId="3822FB49" w14:textId="77777777" w:rsidR="008A09CC" w:rsidRPr="00BE7EC2" w:rsidRDefault="008A09CC" w:rsidP="00A56298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85,24</w:t>
            </w:r>
          </w:p>
        </w:tc>
      </w:tr>
      <w:tr w:rsidR="00D60CE9" w:rsidRPr="00BE7EC2" w14:paraId="068CC3FF" w14:textId="77777777" w:rsidTr="008A09CC">
        <w:trPr>
          <w:trHeight w:val="592"/>
        </w:trPr>
        <w:tc>
          <w:tcPr>
            <w:tcW w:w="851" w:type="dxa"/>
            <w:vAlign w:val="center"/>
          </w:tcPr>
          <w:p w14:paraId="243C6A38" w14:textId="71232B52" w:rsidR="00D60CE9" w:rsidRPr="00BE7EC2" w:rsidRDefault="00D60CE9" w:rsidP="00D60CE9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4.</w:t>
            </w:r>
          </w:p>
        </w:tc>
        <w:tc>
          <w:tcPr>
            <w:tcW w:w="3402" w:type="dxa"/>
            <w:vAlign w:val="center"/>
          </w:tcPr>
          <w:p w14:paraId="7277F644" w14:textId="2B42E409" w:rsidR="00D60CE9" w:rsidRPr="00BE7EC2" w:rsidRDefault="00D60CE9" w:rsidP="00D60CE9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rStyle w:val="ra"/>
                <w:lang w:val="sk-SK"/>
              </w:rPr>
              <w:t xml:space="preserve">MERTEL, s. r. o. </w:t>
            </w:r>
          </w:p>
        </w:tc>
        <w:tc>
          <w:tcPr>
            <w:tcW w:w="1701" w:type="dxa"/>
          </w:tcPr>
          <w:p w14:paraId="4032F6A0" w14:textId="77777777" w:rsidR="00D60CE9" w:rsidRPr="00BE7EC2" w:rsidRDefault="00D60CE9" w:rsidP="00D60CE9">
            <w:pPr>
              <w:spacing w:before="37"/>
              <w:ind w:left="108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10,5</w:t>
            </w:r>
          </w:p>
          <w:p w14:paraId="7F2F9412" w14:textId="2899A123" w:rsidR="00D60CE9" w:rsidRPr="00BE7EC2" w:rsidRDefault="00D60CE9" w:rsidP="00D60CE9">
            <w:pPr>
              <w:spacing w:before="37"/>
              <w:ind w:left="108"/>
              <w:jc w:val="center"/>
              <w:rPr>
                <w:lang w:val="sk-SK" w:eastAsia="en-US"/>
              </w:rPr>
            </w:pPr>
          </w:p>
        </w:tc>
        <w:tc>
          <w:tcPr>
            <w:tcW w:w="1701" w:type="dxa"/>
          </w:tcPr>
          <w:p w14:paraId="5F508307" w14:textId="7E2C2B4B" w:rsidR="00D60CE9" w:rsidRPr="00BE7EC2" w:rsidRDefault="00D60CE9" w:rsidP="00D60CE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BE7EC2">
              <w:rPr>
                <w:lang w:val="sk-SK" w:eastAsia="en-US"/>
              </w:rPr>
              <w:t>66,72</w:t>
            </w:r>
          </w:p>
        </w:tc>
        <w:tc>
          <w:tcPr>
            <w:tcW w:w="1701" w:type="dxa"/>
          </w:tcPr>
          <w:p w14:paraId="2EBF9390" w14:textId="7F85CDE9" w:rsidR="00D60CE9" w:rsidRPr="00BE7EC2" w:rsidRDefault="00D60CE9" w:rsidP="00D60CE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BE7EC2">
              <w:rPr>
                <w:lang w:val="sk-SK" w:eastAsia="en-US"/>
              </w:rPr>
              <w:t>77,22</w:t>
            </w:r>
          </w:p>
        </w:tc>
      </w:tr>
      <w:tr w:rsidR="00D60CE9" w:rsidRPr="00BE7EC2" w14:paraId="0954EFB5" w14:textId="77777777" w:rsidTr="008A09CC">
        <w:trPr>
          <w:trHeight w:val="592"/>
        </w:trPr>
        <w:tc>
          <w:tcPr>
            <w:tcW w:w="851" w:type="dxa"/>
            <w:vAlign w:val="center"/>
          </w:tcPr>
          <w:p w14:paraId="239803E1" w14:textId="13DF1219" w:rsidR="00D60CE9" w:rsidRPr="00BE7EC2" w:rsidRDefault="00D60CE9" w:rsidP="00D60CE9">
            <w:pPr>
              <w:spacing w:before="167"/>
              <w:ind w:left="198" w:right="191"/>
              <w:jc w:val="center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5.</w:t>
            </w:r>
          </w:p>
        </w:tc>
        <w:tc>
          <w:tcPr>
            <w:tcW w:w="3402" w:type="dxa"/>
            <w:vAlign w:val="center"/>
          </w:tcPr>
          <w:p w14:paraId="19D988BC" w14:textId="4DA28FED" w:rsidR="00D60CE9" w:rsidRPr="00BE7EC2" w:rsidRDefault="00D60CE9" w:rsidP="00D60CE9">
            <w:pPr>
              <w:spacing w:before="37"/>
              <w:ind w:left="108"/>
              <w:rPr>
                <w:lang w:val="sk-SK" w:eastAsia="en-US"/>
              </w:rPr>
            </w:pPr>
            <w:r w:rsidRPr="00BE7EC2">
              <w:rPr>
                <w:lang w:val="sk-SK" w:eastAsia="en-US"/>
              </w:rPr>
              <w:t>E-MOTION s.r.o.</w:t>
            </w:r>
          </w:p>
        </w:tc>
        <w:tc>
          <w:tcPr>
            <w:tcW w:w="1701" w:type="dxa"/>
          </w:tcPr>
          <w:p w14:paraId="495F5E67" w14:textId="70785847" w:rsidR="00D60CE9" w:rsidRPr="00BE7EC2" w:rsidRDefault="00D60CE9" w:rsidP="00D60CE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BE7EC2">
              <w:rPr>
                <w:rStyle w:val="ra"/>
                <w:lang w:val="sk-SK"/>
              </w:rPr>
              <w:t>12,8</w:t>
            </w:r>
          </w:p>
        </w:tc>
        <w:tc>
          <w:tcPr>
            <w:tcW w:w="1701" w:type="dxa"/>
          </w:tcPr>
          <w:p w14:paraId="6AB5618B" w14:textId="53DF8C2F" w:rsidR="00D60CE9" w:rsidRPr="00BE7EC2" w:rsidRDefault="00D60CE9" w:rsidP="00D60CE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BE7EC2">
              <w:rPr>
                <w:rStyle w:val="ra"/>
                <w:lang w:val="sk-SK"/>
              </w:rPr>
              <w:t>63,64</w:t>
            </w:r>
          </w:p>
        </w:tc>
        <w:tc>
          <w:tcPr>
            <w:tcW w:w="1701" w:type="dxa"/>
          </w:tcPr>
          <w:p w14:paraId="4B6C0051" w14:textId="4211D299" w:rsidR="00D60CE9" w:rsidRPr="00BE7EC2" w:rsidRDefault="00D60CE9" w:rsidP="00D60CE9">
            <w:pPr>
              <w:spacing w:before="37"/>
              <w:ind w:left="108"/>
              <w:jc w:val="center"/>
              <w:rPr>
                <w:rStyle w:val="ra"/>
                <w:lang w:val="sk-SK"/>
              </w:rPr>
            </w:pPr>
            <w:r w:rsidRPr="00BE7EC2">
              <w:rPr>
                <w:rStyle w:val="ra"/>
                <w:lang w:val="sk-SK"/>
              </w:rPr>
              <w:t>76,44</w:t>
            </w:r>
          </w:p>
        </w:tc>
      </w:tr>
    </w:tbl>
    <w:p w14:paraId="02C18BF5" w14:textId="77777777" w:rsidR="00901245" w:rsidRPr="00BE7EC2" w:rsidRDefault="00901245" w:rsidP="008A09CC">
      <w:pPr>
        <w:pStyle w:val="Zkladntext"/>
        <w:spacing w:before="101"/>
        <w:ind w:right="233"/>
        <w:jc w:val="both"/>
      </w:pPr>
    </w:p>
    <w:p w14:paraId="73D08D41" w14:textId="2921E92B" w:rsidR="00901245" w:rsidRPr="00BE7EC2" w:rsidRDefault="00901245" w:rsidP="00901245">
      <w:pPr>
        <w:pStyle w:val="Zkladntext"/>
        <w:spacing w:before="101"/>
        <w:ind w:right="233"/>
        <w:jc w:val="both"/>
      </w:pPr>
      <w:r w:rsidRPr="00BE7EC2">
        <w:t>V súlade s § 66 ods. 7 písm. b) ZVO k</w:t>
      </w:r>
      <w:r w:rsidR="008A09CC" w:rsidRPr="00BE7EC2">
        <w:t>omisia</w:t>
      </w:r>
      <w:r w:rsidRPr="00BE7EC2">
        <w:t xml:space="preserve"> ďalej vyhodnocovala </w:t>
      </w:r>
      <w:r w:rsidR="00034EA8" w:rsidRPr="00BE7EC2">
        <w:t>ponuk</w:t>
      </w:r>
      <w:r w:rsidRPr="00BE7EC2">
        <w:t>u</w:t>
      </w:r>
      <w:r w:rsidR="00034EA8" w:rsidRPr="00BE7EC2">
        <w:t>, ktorá sa</w:t>
      </w:r>
      <w:r w:rsidRPr="00BE7EC2">
        <w:t xml:space="preserve"> </w:t>
      </w:r>
      <w:r w:rsidR="00034EA8" w:rsidRPr="00BE7EC2">
        <w:t xml:space="preserve">umiestnila </w:t>
      </w:r>
      <w:r w:rsidRPr="00BE7EC2">
        <w:t xml:space="preserve">na prvom mieste -  ponuka č. 3 uchádzača </w:t>
      </w:r>
      <w:r w:rsidRPr="00BE7EC2">
        <w:rPr>
          <w:b/>
          <w:bCs/>
        </w:rPr>
        <w:t>LEOPARD PRODUCTION, s.</w:t>
      </w:r>
      <w:r w:rsidR="00BE7EC2">
        <w:rPr>
          <w:b/>
          <w:bCs/>
        </w:rPr>
        <w:t xml:space="preserve"> </w:t>
      </w:r>
      <w:r w:rsidRPr="00BE7EC2">
        <w:rPr>
          <w:b/>
          <w:bCs/>
        </w:rPr>
        <w:t>r.</w:t>
      </w:r>
      <w:r w:rsidR="00BE7EC2">
        <w:rPr>
          <w:b/>
          <w:bCs/>
        </w:rPr>
        <w:t xml:space="preserve"> </w:t>
      </w:r>
      <w:r w:rsidRPr="00BE7EC2">
        <w:rPr>
          <w:b/>
          <w:bCs/>
        </w:rPr>
        <w:t>o.</w:t>
      </w:r>
      <w:r w:rsidRPr="00BE7EC2">
        <w:t xml:space="preserve"> </w:t>
      </w:r>
    </w:p>
    <w:p w14:paraId="6D5CF5C6" w14:textId="4B36BE9B" w:rsidR="00901245" w:rsidRPr="00BE7EC2" w:rsidRDefault="00901245" w:rsidP="00901245">
      <w:pPr>
        <w:pStyle w:val="Zkladntext"/>
        <w:spacing w:before="101"/>
        <w:ind w:right="233"/>
        <w:jc w:val="both"/>
      </w:pPr>
      <w:r w:rsidRPr="00BE7EC2">
        <w:t>Po podrobnom oboznámení sa s touto ponukou komisia identifikoval</w:t>
      </w:r>
      <w:r w:rsidR="00BE7EC2">
        <w:t>a</w:t>
      </w:r>
      <w:r w:rsidRPr="00BE7EC2">
        <w:t xml:space="preserve"> nezrovnalos</w:t>
      </w:r>
      <w:r w:rsidR="00634CE8" w:rsidRPr="00BE7EC2">
        <w:t>t</w:t>
      </w:r>
      <w:r w:rsidR="00BE7EC2">
        <w:t>i</w:t>
      </w:r>
      <w:r w:rsidR="00634CE8" w:rsidRPr="00BE7EC2">
        <w:t xml:space="preserve"> týkajúc</w:t>
      </w:r>
      <w:r w:rsidR="00BE7EC2">
        <w:t>e</w:t>
      </w:r>
      <w:r w:rsidR="00634CE8" w:rsidRPr="00BE7EC2">
        <w:t xml:space="preserve"> sa tak splnenia požiadaviek na predmet zákazky podľa § 53 ZVO, </w:t>
      </w:r>
      <w:r w:rsidR="00B1730E" w:rsidRPr="00BE7EC2">
        <w:t xml:space="preserve">obsahových náležitostí predložených dokumentov, </w:t>
      </w:r>
      <w:r w:rsidR="00634CE8" w:rsidRPr="00BE7EC2">
        <w:t>ako aj podmienok účasti podľa § 40 ZVO. Komisia tak navrhla osloviť uchádzača s nasledovnými otázkami</w:t>
      </w:r>
      <w:r w:rsidR="00BE7EC2">
        <w:t>:</w:t>
      </w:r>
    </w:p>
    <w:p w14:paraId="4DB1B035" w14:textId="77777777" w:rsidR="00924529" w:rsidRDefault="00924529" w:rsidP="00AF7299">
      <w:pPr>
        <w:pStyle w:val="Zkladntext"/>
        <w:numPr>
          <w:ilvl w:val="0"/>
          <w:numId w:val="11"/>
        </w:numPr>
        <w:spacing w:before="101"/>
        <w:ind w:left="426" w:right="233"/>
        <w:jc w:val="both"/>
      </w:pPr>
      <w:r>
        <w:t xml:space="preserve">V návrhu zmluvy (príloha č. 1 súťažných podkladov) a opis predmetu zákazky (príloha č. 5 súťažných podkladov) sa uvádza požiadavka na „produkčné komplexné zabezpečenie </w:t>
      </w:r>
      <w:proofErr w:type="spellStart"/>
      <w:r>
        <w:t>cateringových</w:t>
      </w:r>
      <w:proofErr w:type="spellEnd"/>
      <w:r>
        <w:t xml:space="preserve"> služieb“, pričom „ponuka alkoholických nápojov musí zahŕňať „</w:t>
      </w:r>
      <w:proofErr w:type="spellStart"/>
      <w:r>
        <w:t>Welcome</w:t>
      </w:r>
      <w:proofErr w:type="spellEnd"/>
      <w:r>
        <w:t xml:space="preserve"> drink </w:t>
      </w:r>
      <w:proofErr w:type="spellStart"/>
      <w:r>
        <w:t>alko</w:t>
      </w:r>
      <w:proofErr w:type="spellEnd"/>
      <w:r>
        <w:t xml:space="preserve"> aj nealko verzia pre 450 osôb, Vínny bar: biele, ružové, červené víno; ponuka minimálne piatich druhov slovenských vybraných vín, Pivo: </w:t>
      </w:r>
      <w:proofErr w:type="spellStart"/>
      <w:r>
        <w:t>alko</w:t>
      </w:r>
      <w:proofErr w:type="spellEnd"/>
      <w:r>
        <w:t xml:space="preserve"> aj nealko verziu.“ V cenovej kalkulácii (príloha č. 4 súťažných podkladov) sa v rámci požiadaviek na catering pri podujatí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 uvádza požiadavka na produkčné zabezpečenie </w:t>
      </w:r>
      <w:proofErr w:type="spellStart"/>
      <w:r>
        <w:t>cateringových</w:t>
      </w:r>
      <w:proofErr w:type="spellEnd"/>
      <w:r>
        <w:t xml:space="preserve"> služieb, dodanie komplexných </w:t>
      </w:r>
      <w:proofErr w:type="spellStart"/>
      <w:r>
        <w:t>cateringových</w:t>
      </w:r>
      <w:proofErr w:type="spellEnd"/>
      <w:r>
        <w:t xml:space="preserve"> služieb, pre 450 osôb, pričom cena má zahŕňať kompletný catering: </w:t>
      </w:r>
      <w:proofErr w:type="spellStart"/>
      <w:r>
        <w:t>Welcome</w:t>
      </w:r>
      <w:proofErr w:type="spellEnd"/>
      <w:r>
        <w:t xml:space="preserve"> drink, </w:t>
      </w:r>
      <w:proofErr w:type="spellStart"/>
      <w:r>
        <w:t>alko</w:t>
      </w:r>
      <w:proofErr w:type="spellEnd"/>
      <w:r>
        <w:t xml:space="preserve"> a nealko nápoje, </w:t>
      </w:r>
      <w:proofErr w:type="spellStart"/>
      <w:r>
        <w:t>fly</w:t>
      </w:r>
      <w:proofErr w:type="spellEnd"/>
      <w:r>
        <w:t xml:space="preserve"> bufet, kompletné menu.</w:t>
      </w:r>
    </w:p>
    <w:p w14:paraId="34C1C4E9" w14:textId="77777777" w:rsidR="00924529" w:rsidRDefault="00924529" w:rsidP="00924529">
      <w:pPr>
        <w:pStyle w:val="Zkladntext"/>
        <w:spacing w:before="101"/>
        <w:ind w:left="426" w:right="233"/>
        <w:jc w:val="both"/>
      </w:pPr>
      <w:r>
        <w:t xml:space="preserve">V bode 3 návrhu rozpočtu (dokument </w:t>
      </w:r>
      <w:proofErr w:type="spellStart"/>
      <w:r>
        <w:t>Priloha</w:t>
      </w:r>
      <w:proofErr w:type="spellEnd"/>
      <w:r>
        <w:t xml:space="preserve"> c. 4 </w:t>
      </w:r>
      <w:proofErr w:type="spellStart"/>
      <w:r>
        <w:t>Cenova</w:t>
      </w:r>
      <w:proofErr w:type="spellEnd"/>
      <w:r>
        <w:t xml:space="preserve"> </w:t>
      </w:r>
      <w:proofErr w:type="spellStart"/>
      <w:r>
        <w:t>kalkulacia_EFA_denna</w:t>
      </w:r>
      <w:proofErr w:type="spellEnd"/>
      <w:r>
        <w:t xml:space="preserve"> </w:t>
      </w:r>
      <w:proofErr w:type="spellStart"/>
      <w:r>
        <w:t>cast</w:t>
      </w:r>
      <w:proofErr w:type="spellEnd"/>
      <w:r>
        <w:t>) predloženého v časti „Všeobecná časť“ uvádzate pri podujatí „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“ cenu 16 580,80 € bez DPH. Na strane (slide) č. 76 ponuky v časti „Koncept“ uvádzate, že pivo a víno budú účtované podľa reálnej spotreby, pričom pri pive uvádzate 24ks nealkoholického piva  48 ks alkoholického piva a pri víne vychádzate z predpokladanej spotreby 0,2 dcl a uvádzate dokopy 120 fliaš. </w:t>
      </w:r>
    </w:p>
    <w:p w14:paraId="08ABE874" w14:textId="77777777" w:rsidR="00924529" w:rsidRPr="00AF7299" w:rsidRDefault="00924529" w:rsidP="00AF7299">
      <w:pPr>
        <w:pStyle w:val="Zkladntext"/>
        <w:spacing w:before="101"/>
        <w:ind w:left="426" w:right="233"/>
        <w:jc w:val="both"/>
        <w:rPr>
          <w:b/>
          <w:bCs/>
        </w:rPr>
      </w:pPr>
      <w:r w:rsidRPr="00AF7299">
        <w:rPr>
          <w:b/>
          <w:bCs/>
        </w:rPr>
        <w:t xml:space="preserve">Keďže verejný obstarávateľ v rámci položky Catering pri podujatí </w:t>
      </w:r>
      <w:proofErr w:type="spellStart"/>
      <w:r w:rsidRPr="00AF7299">
        <w:rPr>
          <w:b/>
          <w:bCs/>
        </w:rPr>
        <w:t>Welcome</w:t>
      </w:r>
      <w:proofErr w:type="spellEnd"/>
      <w:r w:rsidRPr="00AF7299">
        <w:rPr>
          <w:b/>
          <w:bCs/>
        </w:rPr>
        <w:t xml:space="preserve"> </w:t>
      </w:r>
      <w:proofErr w:type="spellStart"/>
      <w:r w:rsidRPr="00AF7299">
        <w:rPr>
          <w:b/>
          <w:bCs/>
        </w:rPr>
        <w:t>reception</w:t>
      </w:r>
      <w:proofErr w:type="spellEnd"/>
      <w:r w:rsidRPr="00AF7299">
        <w:rPr>
          <w:b/>
          <w:bCs/>
        </w:rPr>
        <w:t xml:space="preserve"> žiadal </w:t>
      </w:r>
      <w:proofErr w:type="spellStart"/>
      <w:r w:rsidRPr="00AF7299">
        <w:rPr>
          <w:b/>
          <w:bCs/>
        </w:rPr>
        <w:t>naceniť</w:t>
      </w:r>
      <w:proofErr w:type="spellEnd"/>
      <w:r w:rsidRPr="00AF7299">
        <w:rPr>
          <w:b/>
          <w:bCs/>
        </w:rPr>
        <w:t xml:space="preserve">, okrem iného aj zabezpečenie pív a vín pre 450 osôb (a oporu tomu poskytujú aj ostatné časti súťažných podkladov), komisii nie je zrejmé, z akých dôvodov je vo Vašej ponuke v časti „Koncept“ na str. 76 použité slovné spojenie „účtované podľa reálnej spotreby“ a akým spôsobom je potrebné pristupovať k jeho výkladu. Predmetné slovné spojenie je totiž možné chápať a vykladať aj tak, že cena vín a pív nie je súčasťou rozpočtu a bude k celkovej cene prirátaná podľa reálnej spotreby. Takýto výklad je však v rozpore s Vami predloženou cenovou kalkuláciu z ktorej vyplýva, že cena zahŕňa </w:t>
      </w:r>
      <w:r w:rsidRPr="00AF7299">
        <w:rPr>
          <w:b/>
          <w:bCs/>
        </w:rPr>
        <w:lastRenderedPageBreak/>
        <w:t>kompletný catering pre 450 osôb. Komisia Vás preto žiada o poskytnutie relevantného vysvetlenia.</w:t>
      </w:r>
    </w:p>
    <w:p w14:paraId="46015A65" w14:textId="151D8984" w:rsidR="00924529" w:rsidRPr="00AF7299" w:rsidRDefault="00924529" w:rsidP="00AF7299">
      <w:pPr>
        <w:pStyle w:val="Zkladntext"/>
        <w:spacing w:before="101"/>
        <w:ind w:left="426" w:right="233"/>
        <w:jc w:val="both"/>
        <w:rPr>
          <w:b/>
          <w:bCs/>
        </w:rPr>
      </w:pPr>
      <w:r w:rsidRPr="00AF7299">
        <w:rPr>
          <w:b/>
          <w:bCs/>
        </w:rPr>
        <w:t xml:space="preserve">Keďže ste pri podujatí </w:t>
      </w:r>
      <w:proofErr w:type="spellStart"/>
      <w:r w:rsidRPr="00AF7299">
        <w:rPr>
          <w:b/>
          <w:bCs/>
        </w:rPr>
        <w:t>Welcome</w:t>
      </w:r>
      <w:proofErr w:type="spellEnd"/>
      <w:r w:rsidRPr="00AF7299">
        <w:rPr>
          <w:b/>
          <w:bCs/>
        </w:rPr>
        <w:t xml:space="preserve"> </w:t>
      </w:r>
      <w:proofErr w:type="spellStart"/>
      <w:r w:rsidRPr="00AF7299">
        <w:rPr>
          <w:b/>
          <w:bCs/>
        </w:rPr>
        <w:t>reception</w:t>
      </w:r>
      <w:proofErr w:type="spellEnd"/>
      <w:r w:rsidRPr="00AF7299">
        <w:rPr>
          <w:b/>
          <w:bCs/>
        </w:rPr>
        <w:t xml:space="preserve"> v ponuke vín uviedli len to, že pôjde o Slovenské biele, ružové a červené odrodové, pričom požiadavka znela na minimálne 5 druhov vín, žiadame Vás o bližšiu špecifikáciu konkrétnych vín (vinárstva, odrody, ročníka), ktoré majú byť súčasťou vínneho baru na </w:t>
      </w:r>
      <w:proofErr w:type="spellStart"/>
      <w:r w:rsidRPr="00AF7299">
        <w:rPr>
          <w:b/>
          <w:bCs/>
        </w:rPr>
        <w:t>Welcome</w:t>
      </w:r>
      <w:proofErr w:type="spellEnd"/>
      <w:r w:rsidRPr="00AF7299">
        <w:rPr>
          <w:b/>
          <w:bCs/>
        </w:rPr>
        <w:t xml:space="preserve"> </w:t>
      </w:r>
      <w:proofErr w:type="spellStart"/>
      <w:r w:rsidRPr="00AF7299">
        <w:rPr>
          <w:b/>
          <w:bCs/>
        </w:rPr>
        <w:t>reception</w:t>
      </w:r>
      <w:proofErr w:type="spellEnd"/>
      <w:r>
        <w:rPr>
          <w:b/>
          <w:bCs/>
        </w:rPr>
        <w:t>.</w:t>
      </w:r>
    </w:p>
    <w:p w14:paraId="001E84AD" w14:textId="2A9E2C01" w:rsidR="00BE7EC2" w:rsidRPr="00AF7299" w:rsidRDefault="00BE7EC2" w:rsidP="00AF7299">
      <w:pPr>
        <w:pStyle w:val="Zkladntext"/>
        <w:numPr>
          <w:ilvl w:val="0"/>
          <w:numId w:val="11"/>
        </w:numPr>
        <w:spacing w:before="101"/>
        <w:ind w:left="426" w:right="233"/>
        <w:jc w:val="both"/>
      </w:pPr>
      <w:r w:rsidRPr="00A42960">
        <w:t>V</w:t>
      </w:r>
      <w:r>
        <w:t xml:space="preserve"> časti ponuky „Koncept“ ste uviedli rôzne scénické a priestorové prvky vychádzajúce z Vami navrhnutého hlavného motívu, ktorým je minca. Na str. 43 zobrazujete scénický prvok ( 2mince), pri ktorom je uvedené, že „je možné použiť projekciu“. Na str. 50-58 sú zobrazené ďalšie významné prvky, ako  3D objekt – statický scénický prvok (str. 50), galéria (str. 52), </w:t>
      </w:r>
      <w:proofErr w:type="spellStart"/>
      <w:r>
        <w:t>fotostena</w:t>
      </w:r>
      <w:proofErr w:type="spellEnd"/>
      <w:r>
        <w:t xml:space="preserve">, (str. 53), </w:t>
      </w:r>
      <w:proofErr w:type="spellStart"/>
      <w:r>
        <w:t>personalizovaná</w:t>
      </w:r>
      <w:proofErr w:type="spellEnd"/>
      <w:r>
        <w:t xml:space="preserve"> minca (str. 55), minca (str. 56), a </w:t>
      </w:r>
      <w:proofErr w:type="spellStart"/>
      <w:r>
        <w:t>personalizovaná</w:t>
      </w:r>
      <w:proofErr w:type="spellEnd"/>
      <w:r>
        <w:t xml:space="preserve"> pamätná EFA 2024 minca + </w:t>
      </w:r>
      <w:proofErr w:type="spellStart"/>
      <w:r>
        <w:t>fotostena</w:t>
      </w:r>
      <w:proofErr w:type="spellEnd"/>
      <w:r>
        <w:t xml:space="preserve"> (str. 58) a logo EFA (str. 60).</w:t>
      </w:r>
    </w:p>
    <w:p w14:paraId="4B31F15F" w14:textId="6B817659" w:rsidR="00BE7EC2" w:rsidRPr="00AF7299" w:rsidRDefault="00BE7EC2" w:rsidP="00AF7299">
      <w:pPr>
        <w:pStyle w:val="Zkladntext"/>
        <w:spacing w:before="101"/>
        <w:ind w:left="426" w:right="233"/>
        <w:jc w:val="both"/>
        <w:rPr>
          <w:b/>
          <w:bCs/>
        </w:rPr>
      </w:pPr>
      <w:r w:rsidRPr="00AF7299">
        <w:rPr>
          <w:b/>
          <w:bCs/>
        </w:rPr>
        <w:t>Vzhľadom na to, že sa komisii uvedené prvky nepodarilo identifikovať v rozpočte Vašej ponuky (cenovej kalkulácii), žiada Vás týmto o poskytnutie vysvetlenia, či a v akej miere (</w:t>
      </w:r>
      <w:proofErr w:type="spellStart"/>
      <w:r w:rsidRPr="00AF7299">
        <w:rPr>
          <w:b/>
          <w:bCs/>
        </w:rPr>
        <w:t>t.j</w:t>
      </w:r>
      <w:proofErr w:type="spellEnd"/>
      <w:r w:rsidRPr="00AF7299">
        <w:rPr>
          <w:b/>
          <w:bCs/>
        </w:rPr>
        <w:t>. či všetky prvky a v akom počte) sú predmetné prvky zahrnuté vo Vašom rozpočte a v ktorej jeho časti (napr. nábytok, dekorácie/rekvizity, návrh vizuálnej identity a pod.).</w:t>
      </w:r>
    </w:p>
    <w:p w14:paraId="2EFA2F76" w14:textId="5C5BDCC9" w:rsidR="00BE7EC2" w:rsidRDefault="00BE7EC2" w:rsidP="00AF7299">
      <w:pPr>
        <w:pStyle w:val="Zkladntext"/>
        <w:numPr>
          <w:ilvl w:val="0"/>
          <w:numId w:val="11"/>
        </w:numPr>
        <w:spacing w:before="101"/>
        <w:ind w:left="426" w:right="233"/>
        <w:jc w:val="both"/>
      </w:pPr>
      <w:r>
        <w:t>V rámci Vašej ponuky v časti „Všeobecná časť“ ste predložili podpísaný návrh Zmluvy na zabezpečenie organizácie podujatia EFA 2024 – denná časť č. C-NBS-000-096-497, do ktorého ste však nedoplnili nasledovné:</w:t>
      </w:r>
    </w:p>
    <w:p w14:paraId="4EFB8587" w14:textId="77777777" w:rsidR="00BE7EC2" w:rsidRDefault="00BE7EC2" w:rsidP="00BE7EC2">
      <w:pPr>
        <w:pStyle w:val="Zkladntext"/>
        <w:numPr>
          <w:ilvl w:val="1"/>
          <w:numId w:val="13"/>
        </w:numPr>
        <w:spacing w:before="120"/>
        <w:jc w:val="both"/>
      </w:pPr>
      <w:r>
        <w:t>v bode 5.3. čl. V navrhovanú zmluvnú cenu , </w:t>
      </w:r>
    </w:p>
    <w:p w14:paraId="223E66B5" w14:textId="77777777" w:rsidR="00BE7EC2" w:rsidRDefault="00BE7EC2" w:rsidP="00BE7EC2">
      <w:pPr>
        <w:pStyle w:val="Zkladntext"/>
        <w:numPr>
          <w:ilvl w:val="1"/>
          <w:numId w:val="13"/>
        </w:numPr>
        <w:spacing w:before="120"/>
        <w:jc w:val="both"/>
      </w:pPr>
      <w:r>
        <w:t>v bode 5.11 čl. V príslušnú emailovú adresu,</w:t>
      </w:r>
    </w:p>
    <w:p w14:paraId="4EF6FF5A" w14:textId="77777777" w:rsidR="00BE7EC2" w:rsidRDefault="00BE7EC2" w:rsidP="00BE7EC2">
      <w:pPr>
        <w:pStyle w:val="Zkladntext"/>
        <w:numPr>
          <w:ilvl w:val="1"/>
          <w:numId w:val="13"/>
        </w:numPr>
        <w:spacing w:before="120"/>
        <w:jc w:val="both"/>
      </w:pPr>
      <w:r>
        <w:t>v Prílohe č. 4 Zoznam subdodávateľov poskytovateľa v príslušnej tabuľke.</w:t>
      </w:r>
    </w:p>
    <w:p w14:paraId="74AEF21D" w14:textId="77777777" w:rsidR="00BE7EC2" w:rsidRDefault="00BE7EC2" w:rsidP="00924529">
      <w:pPr>
        <w:pStyle w:val="Zkladntext"/>
        <w:spacing w:before="120"/>
        <w:ind w:left="426"/>
        <w:jc w:val="both"/>
        <w:rPr>
          <w:b/>
          <w:bCs/>
        </w:rPr>
      </w:pPr>
      <w:r w:rsidRPr="00017C79">
        <w:rPr>
          <w:b/>
          <w:bCs/>
        </w:rPr>
        <w:t>Ko</w:t>
      </w:r>
      <w:r>
        <w:rPr>
          <w:b/>
          <w:bCs/>
        </w:rPr>
        <w:t>misia Vás preto žiada o predloženie (doplnenie) návrhu zmluvy, ktorý spĺňa všetky požadované prvky.</w:t>
      </w:r>
    </w:p>
    <w:p w14:paraId="3559B6AE" w14:textId="77777777" w:rsidR="00924529" w:rsidRPr="00AF7299" w:rsidRDefault="00924529" w:rsidP="00AF7299">
      <w:pPr>
        <w:pStyle w:val="Zkladntext"/>
        <w:numPr>
          <w:ilvl w:val="0"/>
          <w:numId w:val="11"/>
        </w:numPr>
        <w:spacing w:before="101"/>
        <w:ind w:left="426" w:right="233"/>
        <w:jc w:val="both"/>
      </w:pPr>
      <w:r w:rsidRPr="007A740F">
        <w:t>V</w:t>
      </w:r>
      <w:r w:rsidRPr="00AF7299">
        <w:t> </w:t>
      </w:r>
      <w:r w:rsidRPr="00924529">
        <w:t xml:space="preserve">bodoch 36.1.1.1 až 36.1.1.4 súťažných podkladov verejný obstarávateľ požadoval preukázanie referenčných zmlúv aspoň na dve služby organizácie podujatí, aspoň na dve služby </w:t>
      </w:r>
      <w:r w:rsidRPr="00A62554">
        <w:t>poskytnutia techniky na podujatia</w:t>
      </w:r>
      <w:r>
        <w:t xml:space="preserve">, </w:t>
      </w:r>
      <w:r w:rsidRPr="00924529">
        <w:t xml:space="preserve">aspoň na dve služby </w:t>
      </w:r>
      <w:r w:rsidRPr="00F3728B">
        <w:t>poskytnutia nábytku na podujatia</w:t>
      </w:r>
      <w:r>
        <w:t xml:space="preserve">, </w:t>
      </w:r>
      <w:r w:rsidRPr="00924529">
        <w:t xml:space="preserve">aspoň na dve služby </w:t>
      </w:r>
      <w:r>
        <w:t xml:space="preserve">poskytnutia </w:t>
      </w:r>
      <w:proofErr w:type="spellStart"/>
      <w:r>
        <w:t>cateringových</w:t>
      </w:r>
      <w:proofErr w:type="spellEnd"/>
      <w:r>
        <w:t xml:space="preserve"> služieb na podujatie,</w:t>
      </w:r>
      <w:r w:rsidRPr="00924529">
        <w:t xml:space="preserve"> a to s počtom min. 300 osôb (na každom z podujatí). Vo Vami predloženom zozname zmlúv v ponuke pre časť „Všeobecná časť“ ste predložili len jednu referenciu, z ktorej je jednoznačne zrejmé, že ide o takýto počet osôb (OVB </w:t>
      </w:r>
      <w:proofErr w:type="spellStart"/>
      <w:r w:rsidRPr="00924529">
        <w:t>Allfinanz</w:t>
      </w:r>
      <w:proofErr w:type="spellEnd"/>
      <w:r w:rsidRPr="00924529">
        <w:t xml:space="preserve"> Slovensko - 1350 osôb). Pri ostatných zmluvách nie je uvedený počet osôb. </w:t>
      </w:r>
    </w:p>
    <w:p w14:paraId="4DC21324" w14:textId="77777777" w:rsidR="00924529" w:rsidRDefault="00924529" w:rsidP="00924529">
      <w:pPr>
        <w:pStyle w:val="Zkladntext"/>
        <w:spacing w:before="120"/>
        <w:ind w:left="426"/>
        <w:jc w:val="both"/>
        <w:rPr>
          <w:b/>
        </w:rPr>
      </w:pPr>
      <w:r>
        <w:rPr>
          <w:b/>
        </w:rPr>
        <w:t xml:space="preserve">Komisia Vás preto pri referenčných zmluvách (Dôvera ZP, SPP distribúcia, LYRECO CE, SE, ESET) žiada o uvedenie, pre koľko osôb/návštevníkov, boli tieto podujatia organizované. </w:t>
      </w:r>
      <w:r w:rsidRPr="00FB7C54">
        <w:rPr>
          <w:b/>
        </w:rPr>
        <w:t>Zároveň</w:t>
      </w:r>
      <w:r>
        <w:rPr>
          <w:bCs/>
        </w:rPr>
        <w:t xml:space="preserve"> </w:t>
      </w:r>
      <w:r>
        <w:rPr>
          <w:b/>
        </w:rPr>
        <w:t xml:space="preserve">Vás komisia žiada o </w:t>
      </w:r>
      <w:r w:rsidRPr="00FB7C54">
        <w:rPr>
          <w:b/>
        </w:rPr>
        <w:t xml:space="preserve">doplnenie, resp. </w:t>
      </w:r>
      <w:r>
        <w:rPr>
          <w:b/>
        </w:rPr>
        <w:t xml:space="preserve">jednoznačné uvedenie, </w:t>
      </w:r>
      <w:r w:rsidRPr="00945524">
        <w:rPr>
          <w:b/>
        </w:rPr>
        <w:t>ktorými z Vami pred</w:t>
      </w:r>
      <w:r>
        <w:rPr>
          <w:b/>
        </w:rPr>
        <w:t xml:space="preserve">ložených referencií preukazujete </w:t>
      </w:r>
      <w:r w:rsidRPr="00945524">
        <w:rPr>
          <w:b/>
        </w:rPr>
        <w:t>spln</w:t>
      </w:r>
      <w:r>
        <w:rPr>
          <w:b/>
        </w:rPr>
        <w:t>enie</w:t>
      </w:r>
      <w:r w:rsidRPr="00945524">
        <w:rPr>
          <w:b/>
        </w:rPr>
        <w:t xml:space="preserve"> </w:t>
      </w:r>
      <w:r>
        <w:rPr>
          <w:b/>
        </w:rPr>
        <w:t xml:space="preserve">jednotlivých </w:t>
      </w:r>
      <w:r w:rsidRPr="00945524">
        <w:rPr>
          <w:b/>
        </w:rPr>
        <w:t>podmien</w:t>
      </w:r>
      <w:r>
        <w:rPr>
          <w:b/>
        </w:rPr>
        <w:t>ok</w:t>
      </w:r>
      <w:r w:rsidRPr="00945524">
        <w:rPr>
          <w:b/>
        </w:rPr>
        <w:t xml:space="preserve"> účasti technickej a odbornej spôsobilosti uveden</w:t>
      </w:r>
      <w:r>
        <w:rPr>
          <w:b/>
        </w:rPr>
        <w:t>ých</w:t>
      </w:r>
      <w:r w:rsidRPr="00945524">
        <w:rPr>
          <w:b/>
        </w:rPr>
        <w:t xml:space="preserve"> v bodoch 36.1.1.1.1, 36.1.1.2, 36.1.1.3, 36.1.1.4 </w:t>
      </w:r>
      <w:r w:rsidRPr="00F3728B">
        <w:rPr>
          <w:b/>
        </w:rPr>
        <w:t>(organizácia</w:t>
      </w:r>
      <w:r w:rsidRPr="00945524">
        <w:rPr>
          <w:b/>
        </w:rPr>
        <w:t xml:space="preserve"> </w:t>
      </w:r>
      <w:r>
        <w:rPr>
          <w:b/>
        </w:rPr>
        <w:t xml:space="preserve">podujatia, </w:t>
      </w:r>
      <w:r w:rsidRPr="00F3728B">
        <w:rPr>
          <w:b/>
        </w:rPr>
        <w:t>poskytnuti</w:t>
      </w:r>
      <w:r>
        <w:rPr>
          <w:b/>
        </w:rPr>
        <w:t>e</w:t>
      </w:r>
      <w:r w:rsidRPr="00F3728B">
        <w:rPr>
          <w:b/>
        </w:rPr>
        <w:t xml:space="preserve"> techniky na podujati</w:t>
      </w:r>
      <w:r>
        <w:rPr>
          <w:b/>
        </w:rPr>
        <w:t>e</w:t>
      </w:r>
      <w:r w:rsidRPr="00F3728B">
        <w:rPr>
          <w:b/>
        </w:rPr>
        <w:t>, poskytnuti</w:t>
      </w:r>
      <w:r>
        <w:rPr>
          <w:b/>
        </w:rPr>
        <w:t>e</w:t>
      </w:r>
      <w:r w:rsidRPr="00F3728B">
        <w:rPr>
          <w:b/>
        </w:rPr>
        <w:t xml:space="preserve"> nábytku na podujati</w:t>
      </w:r>
      <w:r>
        <w:rPr>
          <w:b/>
        </w:rPr>
        <w:t>e</w:t>
      </w:r>
      <w:r w:rsidRPr="00F3728B">
        <w:rPr>
          <w:b/>
        </w:rPr>
        <w:t>, poskytnuti</w:t>
      </w:r>
      <w:r>
        <w:rPr>
          <w:b/>
        </w:rPr>
        <w:t>e</w:t>
      </w:r>
      <w:r w:rsidRPr="00F3728B">
        <w:rPr>
          <w:b/>
        </w:rPr>
        <w:t xml:space="preserve"> </w:t>
      </w:r>
      <w:proofErr w:type="spellStart"/>
      <w:r w:rsidRPr="00F3728B">
        <w:rPr>
          <w:b/>
        </w:rPr>
        <w:t>cateringových</w:t>
      </w:r>
      <w:proofErr w:type="spellEnd"/>
      <w:r w:rsidRPr="00F3728B">
        <w:rPr>
          <w:b/>
        </w:rPr>
        <w:t xml:space="preserve"> služieb na podujatie</w:t>
      </w:r>
      <w:r>
        <w:rPr>
          <w:b/>
        </w:rPr>
        <w:t>).</w:t>
      </w:r>
    </w:p>
    <w:p w14:paraId="2965356E" w14:textId="77777777" w:rsidR="00924529" w:rsidRPr="00AF7299" w:rsidRDefault="00924529" w:rsidP="00AF7299">
      <w:pPr>
        <w:pStyle w:val="Zkladntext"/>
        <w:numPr>
          <w:ilvl w:val="0"/>
          <w:numId w:val="11"/>
        </w:numPr>
        <w:spacing w:before="101"/>
        <w:ind w:left="426" w:right="233"/>
        <w:jc w:val="both"/>
      </w:pPr>
      <w:r w:rsidRPr="00924529">
        <w:t>V </w:t>
      </w:r>
      <w:r w:rsidRPr="004417B3">
        <w:t xml:space="preserve">bode 36.1.2 súťažných podkladov verejný obstarávateľ pri pozícii kľúčového odborníka </w:t>
      </w:r>
      <w:r>
        <w:t>(</w:t>
      </w:r>
      <w:r w:rsidRPr="004417B3">
        <w:t>event manažér</w:t>
      </w:r>
      <w:r>
        <w:t>)</w:t>
      </w:r>
      <w:r w:rsidRPr="004417B3">
        <w:t xml:space="preserve"> požadoval preukázanie </w:t>
      </w:r>
      <w:r w:rsidRPr="00A367F1">
        <w:t xml:space="preserve">min. 5 ročnej dĺžky praxe, ktorú uchádzač </w:t>
      </w:r>
      <w:r>
        <w:t xml:space="preserve">mal </w:t>
      </w:r>
      <w:r w:rsidRPr="00A367F1">
        <w:t>preuká</w:t>
      </w:r>
      <w:r>
        <w:t>zať</w:t>
      </w:r>
      <w:r w:rsidRPr="00A367F1">
        <w:t xml:space="preserve"> predložením profesijného životopisu podpísaného danou osobou, s uvedením podujatí, na ktorých vykonával činnosť</w:t>
      </w:r>
      <w:r w:rsidRPr="00924529">
        <w:t xml:space="preserve"> event manažéra).</w:t>
      </w:r>
    </w:p>
    <w:p w14:paraId="2ABF7F46" w14:textId="77777777" w:rsidR="00924529" w:rsidRDefault="00924529" w:rsidP="00AF7299">
      <w:pPr>
        <w:pStyle w:val="Zkladntext"/>
        <w:spacing w:before="120"/>
        <w:ind w:left="426"/>
        <w:jc w:val="both"/>
        <w:rPr>
          <w:bCs/>
        </w:rPr>
      </w:pPr>
      <w:r>
        <w:rPr>
          <w:bCs/>
        </w:rPr>
        <w:t xml:space="preserve">V ponuke v časti „Všeobecná časť“ ste uviedli životopisy osôb pani </w:t>
      </w:r>
      <w:proofErr w:type="spellStart"/>
      <w:r w:rsidRPr="00A367F1">
        <w:rPr>
          <w:bCs/>
        </w:rPr>
        <w:t>Pevalov</w:t>
      </w:r>
      <w:r>
        <w:rPr>
          <w:bCs/>
        </w:rPr>
        <w:t>ej</w:t>
      </w:r>
      <w:proofErr w:type="spellEnd"/>
      <w:r w:rsidRPr="00A367F1">
        <w:rPr>
          <w:bCs/>
        </w:rPr>
        <w:t xml:space="preserve"> </w:t>
      </w:r>
      <w:r>
        <w:rPr>
          <w:bCs/>
        </w:rPr>
        <w:t xml:space="preserve">a pána Kočiša. </w:t>
      </w:r>
    </w:p>
    <w:p w14:paraId="0F8270C2" w14:textId="77777777" w:rsidR="00924529" w:rsidRPr="00A367F1" w:rsidRDefault="00924529" w:rsidP="00AF7299">
      <w:pPr>
        <w:pStyle w:val="Zkladntext"/>
        <w:spacing w:before="120"/>
        <w:ind w:left="426"/>
        <w:jc w:val="both"/>
        <w:rPr>
          <w:b/>
        </w:rPr>
      </w:pPr>
      <w:r w:rsidRPr="009177AD">
        <w:rPr>
          <w:b/>
        </w:rPr>
        <w:t>Komisia Vás žiada o upresnenie, ktorou z uvedených osôb preukazujete splnenie podmienky účasti podľa bodu 36.1.2 súťažných podkladov</w:t>
      </w:r>
      <w:r>
        <w:rPr>
          <w:b/>
        </w:rPr>
        <w:t xml:space="preserve"> a o uvedenie, či Vami uvedené osoby predstavujú Vaše interné kapacity (zamestnancov alebo “</w:t>
      </w:r>
      <w:proofErr w:type="spellStart"/>
      <w:r>
        <w:rPr>
          <w:b/>
        </w:rPr>
        <w:t>dohodárov</w:t>
      </w:r>
      <w:proofErr w:type="spellEnd"/>
      <w:r>
        <w:rPr>
          <w:b/>
        </w:rPr>
        <w:t xml:space="preserve">“ – pracovníkov na dohody vykonávane mimo pracovného pomeru) alebo ide o externých spolupracovníkov (osobitne to platí vo vzťahu k pani </w:t>
      </w:r>
      <w:proofErr w:type="spellStart"/>
      <w:r>
        <w:rPr>
          <w:b/>
        </w:rPr>
        <w:t>Pevalovej</w:t>
      </w:r>
      <w:proofErr w:type="spellEnd"/>
      <w:r>
        <w:rPr>
          <w:b/>
        </w:rPr>
        <w:t>, ktorej životopis uvádza, že je majiteľka a konateľka viacerých obchodných spoločností).</w:t>
      </w:r>
    </w:p>
    <w:p w14:paraId="1A2C6B2A" w14:textId="77777777" w:rsidR="00924529" w:rsidRPr="00924529" w:rsidRDefault="00924529" w:rsidP="00AF7299">
      <w:pPr>
        <w:pStyle w:val="Zkladntext"/>
        <w:numPr>
          <w:ilvl w:val="0"/>
          <w:numId w:val="11"/>
        </w:numPr>
        <w:spacing w:before="101"/>
        <w:ind w:left="426" w:right="233"/>
        <w:jc w:val="both"/>
      </w:pPr>
      <w:r w:rsidRPr="00924529">
        <w:lastRenderedPageBreak/>
        <w:t>V bode 17.3.1 súťažných podkladov verejný obstarávateľ vyžadoval uvedenie návrhu osvetľovacej a ozvučovacej techniky s uvedením technických parametrov a značiek. Vo Vašej ponuke (ani v časti „Koncept“, ani v časti „Všeobecná časť“) sa však požadovaný návrh nenachádza.</w:t>
      </w:r>
    </w:p>
    <w:p w14:paraId="3517F5F0" w14:textId="77777777" w:rsidR="00924529" w:rsidRDefault="00924529" w:rsidP="00924529">
      <w:pPr>
        <w:pStyle w:val="Zkladntext"/>
        <w:spacing w:before="120"/>
        <w:ind w:left="426"/>
        <w:jc w:val="both"/>
        <w:rPr>
          <w:b/>
        </w:rPr>
      </w:pPr>
      <w:r>
        <w:rPr>
          <w:b/>
        </w:rPr>
        <w:t xml:space="preserve">Komisia Vás preto žiada o doplnenie predmetného návrhu </w:t>
      </w:r>
      <w:r w:rsidRPr="00F514D9">
        <w:rPr>
          <w:b/>
        </w:rPr>
        <w:t>osvetľovacej a ozvučovacej techniky s uvedením technických parametrov a</w:t>
      </w:r>
      <w:r>
        <w:rPr>
          <w:b/>
        </w:rPr>
        <w:t> </w:t>
      </w:r>
      <w:r w:rsidRPr="00F514D9">
        <w:rPr>
          <w:b/>
        </w:rPr>
        <w:t>značiek</w:t>
      </w:r>
      <w:r>
        <w:rPr>
          <w:b/>
        </w:rPr>
        <w:t xml:space="preserve"> tak, ako bolo uvedené v súťažných podkladoch.</w:t>
      </w:r>
    </w:p>
    <w:p w14:paraId="7342BD32" w14:textId="77777777" w:rsidR="00924529" w:rsidRPr="00924529" w:rsidRDefault="00924529" w:rsidP="00AF7299">
      <w:pPr>
        <w:pStyle w:val="Zkladntext"/>
        <w:numPr>
          <w:ilvl w:val="0"/>
          <w:numId w:val="11"/>
        </w:numPr>
        <w:spacing w:before="101"/>
        <w:ind w:left="426" w:right="233"/>
        <w:jc w:val="both"/>
      </w:pPr>
      <w:r w:rsidRPr="00924529">
        <w:t xml:space="preserve">V opise predmetu zákazky (príloha č. 3 súťažných podkladov) sa uvádza, že uchádzač vyberie a odporučí sprievodný program. Ponuka (programu) bude súčasťou </w:t>
      </w:r>
      <w:proofErr w:type="spellStart"/>
      <w:r w:rsidRPr="00924529">
        <w:t>promotion</w:t>
      </w:r>
      <w:proofErr w:type="spellEnd"/>
      <w:r w:rsidRPr="00924529">
        <w:t xml:space="preserve"> v Redute v </w:t>
      </w:r>
      <w:proofErr w:type="spellStart"/>
      <w:r w:rsidRPr="00924529">
        <w:t>promo</w:t>
      </w:r>
      <w:proofErr w:type="spellEnd"/>
      <w:r w:rsidRPr="00924529">
        <w:t xml:space="preserve"> zóne partnerov podujatia. Hostia si program hradia sami, ale koordinácia a príprava ponuky je na uchádzačovi. Vo Vašej ponuke (ani v časti „Koncept“, ani v časti „Všeobecná časť“) sa však nenachádza zmienka o sprievodnom programe.</w:t>
      </w:r>
    </w:p>
    <w:p w14:paraId="62610C2A" w14:textId="77777777" w:rsidR="00924529" w:rsidRPr="008062A8" w:rsidRDefault="00924529" w:rsidP="00AF7299">
      <w:pPr>
        <w:pStyle w:val="Zkladntext"/>
        <w:spacing w:before="120"/>
        <w:ind w:left="426"/>
        <w:jc w:val="both"/>
        <w:rPr>
          <w:b/>
        </w:rPr>
      </w:pPr>
      <w:r w:rsidRPr="008062A8">
        <w:rPr>
          <w:b/>
        </w:rPr>
        <w:t>Komisia Vás preto žiada o doplnenie informácií o Vami uvažovanom sprievodnom programe, ktorý plánujete zabezpečiť, resp. odporúčať účastníkom podujatia.</w:t>
      </w:r>
    </w:p>
    <w:p w14:paraId="401CA1C4" w14:textId="77777777" w:rsidR="00924529" w:rsidRPr="00924529" w:rsidRDefault="00924529" w:rsidP="00AF7299">
      <w:pPr>
        <w:pStyle w:val="Zkladntext"/>
        <w:numPr>
          <w:ilvl w:val="0"/>
          <w:numId w:val="11"/>
        </w:numPr>
        <w:spacing w:before="101"/>
        <w:ind w:left="426" w:right="233"/>
        <w:jc w:val="both"/>
      </w:pPr>
      <w:r w:rsidRPr="00924529">
        <w:t xml:space="preserve">V opise predmetu zákazky (príloha č. 3 súťažných podkladov) sa uvádza požiadavka (osobitne pri </w:t>
      </w:r>
      <w:proofErr w:type="spellStart"/>
      <w:r w:rsidRPr="00924529">
        <w:t>Keynote</w:t>
      </w:r>
      <w:proofErr w:type="spellEnd"/>
      <w:r w:rsidRPr="00924529">
        <w:t xml:space="preserve"> </w:t>
      </w:r>
      <w:proofErr w:type="spellStart"/>
      <w:r w:rsidRPr="00924529">
        <w:t>Address</w:t>
      </w:r>
      <w:proofErr w:type="spellEnd"/>
      <w:r w:rsidRPr="00924529">
        <w:t>/</w:t>
      </w:r>
      <w:proofErr w:type="spellStart"/>
      <w:r w:rsidRPr="00924529">
        <w:t>Prize</w:t>
      </w:r>
      <w:proofErr w:type="spellEnd"/>
      <w:r w:rsidRPr="00924529">
        <w:t xml:space="preserve"> </w:t>
      </w:r>
      <w:proofErr w:type="spellStart"/>
      <w:r w:rsidRPr="00924529">
        <w:t>Ceremony</w:t>
      </w:r>
      <w:proofErr w:type="spellEnd"/>
      <w:r w:rsidRPr="00924529">
        <w:t xml:space="preserve">/General </w:t>
      </w:r>
      <w:proofErr w:type="spellStart"/>
      <w:r w:rsidRPr="00924529">
        <w:t>Assembly</w:t>
      </w:r>
      <w:proofErr w:type="spellEnd"/>
      <w:r w:rsidRPr="00924529">
        <w:t xml:space="preserve"> dňa 23.8.2024), aby program bol uvedený a moderovaný profesionálnym moderátorom. Rovnako tak je požiadavka na zabezpečenie moderátora v opise predmetu zákazky (príloha č. 3 súťažných podkladov) uvedená aj v rámci </w:t>
      </w:r>
      <w:proofErr w:type="spellStart"/>
      <w:r w:rsidRPr="00924529">
        <w:t>Welcome</w:t>
      </w:r>
      <w:proofErr w:type="spellEnd"/>
      <w:r w:rsidRPr="00924529">
        <w:t xml:space="preserve"> </w:t>
      </w:r>
      <w:proofErr w:type="spellStart"/>
      <w:r w:rsidRPr="00924529">
        <w:t>reception</w:t>
      </w:r>
      <w:proofErr w:type="spellEnd"/>
      <w:r w:rsidRPr="00924529">
        <w:t>. Vo Vašej ponuke (ani v časti „Koncept“, ani v časti „Všeobecná časť“) sa nenachádza návrh konkrétneho moderátora.</w:t>
      </w:r>
    </w:p>
    <w:p w14:paraId="2576B55F" w14:textId="77777777" w:rsidR="00924529" w:rsidRPr="008062A8" w:rsidRDefault="00924529" w:rsidP="00AF7299">
      <w:pPr>
        <w:pStyle w:val="Zkladntext"/>
        <w:spacing w:before="120"/>
        <w:ind w:left="426"/>
        <w:jc w:val="both"/>
        <w:rPr>
          <w:bCs/>
        </w:rPr>
      </w:pPr>
      <w:r w:rsidRPr="008062A8">
        <w:rPr>
          <w:b/>
        </w:rPr>
        <w:t xml:space="preserve">Komisia Vás </w:t>
      </w:r>
      <w:r>
        <w:rPr>
          <w:b/>
        </w:rPr>
        <w:t xml:space="preserve">preto </w:t>
      </w:r>
      <w:r w:rsidRPr="008062A8">
        <w:rPr>
          <w:b/>
        </w:rPr>
        <w:t>žiada o</w:t>
      </w:r>
      <w:r>
        <w:rPr>
          <w:b/>
        </w:rPr>
        <w:t> uvedenie mena Vami uvažovaného moderátora</w:t>
      </w:r>
      <w:r w:rsidRPr="008062A8">
        <w:rPr>
          <w:b/>
        </w:rPr>
        <w:t>.</w:t>
      </w:r>
    </w:p>
    <w:p w14:paraId="1EDEDFCF" w14:textId="4C3589D8" w:rsidR="004F785C" w:rsidRPr="00BE7EC2" w:rsidRDefault="004F785C" w:rsidP="00A75E2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Uchádzačovi bola dňa 5.6.2024 zaslaná prostredníctvom IS JOSEPHINE žiadosť o vysvetlenie ponuky a bola mu poskytnutá lehota na odpoveď 2 pracovné od dni doručenia žiadosti (</w:t>
      </w:r>
      <w:proofErr w:type="spellStart"/>
      <w:r w:rsidRPr="00BE7EC2">
        <w:rPr>
          <w:bCs/>
        </w:rPr>
        <w:t>t.j</w:t>
      </w:r>
      <w:proofErr w:type="spellEnd"/>
      <w:r w:rsidRPr="00BE7EC2">
        <w:rPr>
          <w:bCs/>
        </w:rPr>
        <w:t>. 7.6.2024, 23:59:59 hod. Uchádzač vysvetlenie spolu s požadovanými dokladmi doručil v</w:t>
      </w:r>
      <w:r w:rsidR="00D33E68" w:rsidRPr="00BE7EC2">
        <w:rPr>
          <w:bCs/>
        </w:rPr>
        <w:t> stanovenej</w:t>
      </w:r>
      <w:r w:rsidRPr="00BE7EC2">
        <w:rPr>
          <w:bCs/>
        </w:rPr>
        <w:t xml:space="preserve"> lehote (6.6.2024 23:35</w:t>
      </w:r>
      <w:r w:rsidR="004B43F7" w:rsidRPr="00BE7EC2">
        <w:rPr>
          <w:bCs/>
        </w:rPr>
        <w:t>:59</w:t>
      </w:r>
      <w:r w:rsidRPr="00BE7EC2">
        <w:rPr>
          <w:bCs/>
        </w:rPr>
        <w:t>)</w:t>
      </w:r>
      <w:r w:rsidR="00D33E68" w:rsidRPr="00BE7EC2">
        <w:rPr>
          <w:bCs/>
        </w:rPr>
        <w:t>.</w:t>
      </w:r>
    </w:p>
    <w:p w14:paraId="7AC822C8" w14:textId="0D9B16CA" w:rsidR="00BF4E4B" w:rsidRPr="00BE7EC2" w:rsidRDefault="00D33E68" w:rsidP="00A75E2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V súvislosti so zahrnutím alkoholických nápojov do rozpočtu podujatia </w:t>
      </w:r>
      <w:proofErr w:type="spellStart"/>
      <w:r w:rsidRPr="00BE7EC2">
        <w:rPr>
          <w:bCs/>
        </w:rPr>
        <w:t>Welcome</w:t>
      </w:r>
      <w:proofErr w:type="spellEnd"/>
      <w:r w:rsidRPr="00BE7EC2">
        <w:rPr>
          <w:bCs/>
        </w:rPr>
        <w:t xml:space="preserve"> </w:t>
      </w:r>
      <w:proofErr w:type="spellStart"/>
      <w:r w:rsidRPr="00BE7EC2">
        <w:rPr>
          <w:bCs/>
        </w:rPr>
        <w:t>reception</w:t>
      </w:r>
      <w:proofErr w:type="spellEnd"/>
      <w:r w:rsidRPr="00BE7EC2">
        <w:rPr>
          <w:bCs/>
        </w:rPr>
        <w:t xml:space="preserve"> uchádzač odpovedal, že počty, ktoré uviedol vo svojej ponuke v časti „Koncept“ zahrnul do rozpočtu. </w:t>
      </w:r>
    </w:p>
    <w:p w14:paraId="73B8F09C" w14:textId="0BF1B60A" w:rsidR="00D33E68" w:rsidRPr="00BE7EC2" w:rsidRDefault="00BF4E4B" w:rsidP="00A75E2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U</w:t>
      </w:r>
      <w:r w:rsidR="00D33E68" w:rsidRPr="00BE7EC2">
        <w:rPr>
          <w:bCs/>
        </w:rPr>
        <w:t xml:space="preserve">chádzač doplnil zoznam ponúkaných vín, a síce: </w:t>
      </w:r>
      <w:r w:rsidR="00286981" w:rsidRPr="00BE7EC2">
        <w:rPr>
          <w:bCs/>
        </w:rPr>
        <w:t>biele víno</w:t>
      </w:r>
      <w:r w:rsidR="00D33E68" w:rsidRPr="00BE7EC2">
        <w:rPr>
          <w:bCs/>
        </w:rPr>
        <w:t xml:space="preserve"> </w:t>
      </w:r>
      <w:r w:rsidR="00286981" w:rsidRPr="00BE7EC2">
        <w:rPr>
          <w:bCs/>
        </w:rPr>
        <w:t>–</w:t>
      </w:r>
      <w:r w:rsidR="00D33E68" w:rsidRPr="00BE7EC2">
        <w:rPr>
          <w:bCs/>
        </w:rPr>
        <w:t xml:space="preserve"> Tajná Rizling vlašský </w:t>
      </w:r>
      <w:proofErr w:type="spellStart"/>
      <w:r w:rsidR="00D33E68" w:rsidRPr="00BE7EC2">
        <w:rPr>
          <w:bCs/>
        </w:rPr>
        <w:t>Fresh</w:t>
      </w:r>
      <w:proofErr w:type="spellEnd"/>
      <w:r w:rsidR="00D33E68" w:rsidRPr="00BE7EC2">
        <w:rPr>
          <w:bCs/>
        </w:rPr>
        <w:t xml:space="preserve">   2023, Mrva Stanko Veltlínske zelené KRYO 2023, Víno PURUS </w:t>
      </w:r>
      <w:proofErr w:type="spellStart"/>
      <w:r w:rsidR="00D33E68" w:rsidRPr="00BE7EC2">
        <w:rPr>
          <w:bCs/>
        </w:rPr>
        <w:t>pinot</w:t>
      </w:r>
      <w:proofErr w:type="spellEnd"/>
      <w:r w:rsidR="00D33E68" w:rsidRPr="00BE7EC2">
        <w:rPr>
          <w:bCs/>
        </w:rPr>
        <w:t xml:space="preserve"> </w:t>
      </w:r>
      <w:proofErr w:type="spellStart"/>
      <w:r w:rsidR="00D33E68" w:rsidRPr="00BE7EC2">
        <w:rPr>
          <w:bCs/>
        </w:rPr>
        <w:t>Gris</w:t>
      </w:r>
      <w:proofErr w:type="spellEnd"/>
      <w:r w:rsidR="00D33E68" w:rsidRPr="00BE7EC2">
        <w:rPr>
          <w:bCs/>
        </w:rPr>
        <w:t xml:space="preserve"> </w:t>
      </w:r>
      <w:proofErr w:type="spellStart"/>
      <w:r w:rsidR="00D33E68" w:rsidRPr="00BE7EC2">
        <w:rPr>
          <w:bCs/>
        </w:rPr>
        <w:t>Kugel</w:t>
      </w:r>
      <w:proofErr w:type="spellEnd"/>
      <w:r w:rsidR="00D33E68" w:rsidRPr="00BE7EC2">
        <w:rPr>
          <w:bCs/>
        </w:rPr>
        <w:t xml:space="preserve"> 2022, </w:t>
      </w:r>
      <w:r w:rsidR="00286981" w:rsidRPr="00BE7EC2">
        <w:rPr>
          <w:bCs/>
        </w:rPr>
        <w:t xml:space="preserve">ružové vín – </w:t>
      </w:r>
      <w:r w:rsidR="00D33E68" w:rsidRPr="00BE7EC2">
        <w:rPr>
          <w:bCs/>
        </w:rPr>
        <w:t xml:space="preserve">Mrva Stanko </w:t>
      </w:r>
      <w:proofErr w:type="spellStart"/>
      <w:r w:rsidR="00D33E68" w:rsidRPr="00BE7EC2">
        <w:rPr>
          <w:bCs/>
        </w:rPr>
        <w:t>Cabernet</w:t>
      </w:r>
      <w:proofErr w:type="spellEnd"/>
      <w:r w:rsidR="00D33E68" w:rsidRPr="00BE7EC2">
        <w:rPr>
          <w:bCs/>
        </w:rPr>
        <w:t xml:space="preserve"> </w:t>
      </w:r>
      <w:proofErr w:type="spellStart"/>
      <w:r w:rsidR="00D33E68" w:rsidRPr="00BE7EC2">
        <w:rPr>
          <w:bCs/>
        </w:rPr>
        <w:t>Sauvignon</w:t>
      </w:r>
      <w:proofErr w:type="spellEnd"/>
      <w:r w:rsidR="00D33E68" w:rsidRPr="00BE7EC2">
        <w:rPr>
          <w:bCs/>
        </w:rPr>
        <w:t xml:space="preserve"> </w:t>
      </w:r>
      <w:proofErr w:type="spellStart"/>
      <w:r w:rsidR="00D33E68" w:rsidRPr="00BE7EC2">
        <w:rPr>
          <w:bCs/>
        </w:rPr>
        <w:t>rosé</w:t>
      </w:r>
      <w:proofErr w:type="spellEnd"/>
      <w:r w:rsidR="00D33E68" w:rsidRPr="00BE7EC2">
        <w:rPr>
          <w:bCs/>
        </w:rPr>
        <w:t xml:space="preserve">  2023, </w:t>
      </w:r>
      <w:r w:rsidR="00286981" w:rsidRPr="00BE7EC2">
        <w:rPr>
          <w:bCs/>
        </w:rPr>
        <w:t xml:space="preserve">červené víno – </w:t>
      </w:r>
      <w:r w:rsidR="00D33E68" w:rsidRPr="00BE7EC2">
        <w:rPr>
          <w:bCs/>
        </w:rPr>
        <w:t xml:space="preserve">Karpatská Perla </w:t>
      </w:r>
      <w:proofErr w:type="spellStart"/>
      <w:r w:rsidR="00D33E68" w:rsidRPr="00BE7EC2">
        <w:rPr>
          <w:bCs/>
        </w:rPr>
        <w:t>Cabernet</w:t>
      </w:r>
      <w:proofErr w:type="spellEnd"/>
      <w:r w:rsidR="00D33E68" w:rsidRPr="00BE7EC2">
        <w:rPr>
          <w:bCs/>
        </w:rPr>
        <w:t xml:space="preserve"> </w:t>
      </w:r>
      <w:proofErr w:type="spellStart"/>
      <w:r w:rsidR="00D33E68" w:rsidRPr="00BE7EC2">
        <w:rPr>
          <w:bCs/>
        </w:rPr>
        <w:t>Sauvignon</w:t>
      </w:r>
      <w:proofErr w:type="spellEnd"/>
      <w:r w:rsidR="00D33E68" w:rsidRPr="00BE7EC2">
        <w:rPr>
          <w:bCs/>
        </w:rPr>
        <w:t xml:space="preserve"> 2019 Pavelka syn Dunaj</w:t>
      </w:r>
      <w:r w:rsidR="00286981" w:rsidRPr="00BE7EC2">
        <w:rPr>
          <w:bCs/>
        </w:rPr>
        <w:t xml:space="preserve"> </w:t>
      </w:r>
      <w:r w:rsidR="00D33E68" w:rsidRPr="00BE7EC2">
        <w:rPr>
          <w:bCs/>
        </w:rPr>
        <w:t xml:space="preserve">2022. </w:t>
      </w:r>
    </w:p>
    <w:p w14:paraId="48741AD6" w14:textId="3CF5FEE2" w:rsidR="00A2655D" w:rsidRPr="00BE7EC2" w:rsidRDefault="00A75E28" w:rsidP="00A75E2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Pokiaľ ide o </w:t>
      </w:r>
      <w:r w:rsidR="00A2655D" w:rsidRPr="00BE7EC2">
        <w:rPr>
          <w:bCs/>
        </w:rPr>
        <w:t>tre</w:t>
      </w:r>
      <w:r w:rsidRPr="00BE7EC2">
        <w:rPr>
          <w:bCs/>
        </w:rPr>
        <w:t>tiu</w:t>
      </w:r>
      <w:r w:rsidR="00A2655D" w:rsidRPr="00BE7EC2">
        <w:rPr>
          <w:bCs/>
        </w:rPr>
        <w:t xml:space="preserve"> otázku</w:t>
      </w:r>
      <w:r w:rsidR="00924529">
        <w:rPr>
          <w:bCs/>
        </w:rPr>
        <w:t>,</w:t>
      </w:r>
      <w:r w:rsidR="00A2655D" w:rsidRPr="00BE7EC2">
        <w:rPr>
          <w:bCs/>
        </w:rPr>
        <w:t xml:space="preserve"> uchádzač poskytol zoznam techniky v detailnejšej miere, pričom ku každému prvku priradil aj jednotkovú cenu. </w:t>
      </w:r>
      <w:r w:rsidR="00BF4E4B" w:rsidRPr="00BE7EC2">
        <w:rPr>
          <w:bCs/>
        </w:rPr>
        <w:t>Poskytnuté vysvetlenie je súladné s deklarovaným rozpočtom v položke dekorácie a rekvizity.</w:t>
      </w:r>
    </w:p>
    <w:p w14:paraId="36ACE8BF" w14:textId="720090F6" w:rsidR="00BF4E4B" w:rsidRPr="00BE7EC2" w:rsidRDefault="00BF4E4B" w:rsidP="00A75E2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Uchádzač </w:t>
      </w:r>
      <w:r w:rsidR="00A75E28" w:rsidRPr="00BE7EC2">
        <w:rPr>
          <w:bCs/>
        </w:rPr>
        <w:t xml:space="preserve">predložil doplnené znenie zmluvy, ktoré obsahuje všetky požadované údaje. </w:t>
      </w:r>
    </w:p>
    <w:p w14:paraId="577E7CDC" w14:textId="1811F4B0" w:rsidR="009D131E" w:rsidRPr="00BE7EC2" w:rsidRDefault="00A75E28" w:rsidP="009D131E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Obdobne pri referenciách uchádzač doplnil ním pôvodne predložený zoznam o požadované údaje. Z vysvetlenia vyplynulo, že každé z jeho referenčných podujatí </w:t>
      </w:r>
      <w:r w:rsidR="009D131E" w:rsidRPr="00BE7EC2">
        <w:rPr>
          <w:bCs/>
        </w:rPr>
        <w:t>bolo určené pre viac ako 300 účastníkov (350-1350). Zároveň z predloženého zoznamu vyplýva, že podujatia v sebe v rôznej kombinácii zahŕňajú aj poskytnutie techniky, nábytku a cateringu.</w:t>
      </w:r>
    </w:p>
    <w:p w14:paraId="7058BA7F" w14:textId="007B11E9" w:rsidR="00286981" w:rsidRPr="00BE7EC2" w:rsidRDefault="00286981" w:rsidP="009D131E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Ako osobu, ktorou uchádzač mieni preukázať podmienku účasti podľa § 34 ods. 1 písm. g) ZVO uchádzač určil p. Lukáša Kočiša, ktorý je jeho interným zamestnancom a podľa tvrdení uchádzača v </w:t>
      </w:r>
      <w:proofErr w:type="spellStart"/>
      <w:r w:rsidRPr="00BE7EC2">
        <w:rPr>
          <w:bCs/>
        </w:rPr>
        <w:t>eventovom</w:t>
      </w:r>
      <w:proofErr w:type="spellEnd"/>
      <w:r w:rsidRPr="00BE7EC2">
        <w:rPr>
          <w:bCs/>
        </w:rPr>
        <w:t xml:space="preserve"> sektore pôsobí viac ako 10 rokov. </w:t>
      </w:r>
    </w:p>
    <w:p w14:paraId="7101E9BB" w14:textId="2942726C" w:rsidR="00BA64D5" w:rsidRPr="00BE7EC2" w:rsidRDefault="00BA64D5" w:rsidP="009D131E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Uchádzač poskytol zoznam technického vybavenia ozvučovacej a osvetľovacej techniky. </w:t>
      </w:r>
    </w:p>
    <w:p w14:paraId="4619A3F6" w14:textId="5A0CD847" w:rsidR="00286981" w:rsidRPr="00BE7EC2" w:rsidRDefault="00286981" w:rsidP="009D131E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V rámci sprievodného programu uchádzač poukázal na spoluprácu s BKIS a BTB a uviedol nasledovné aktivity:</w:t>
      </w:r>
    </w:p>
    <w:p w14:paraId="3B39176C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 xml:space="preserve">Komentovaná prehliadka mesta  Bratislava </w:t>
      </w:r>
      <w:proofErr w:type="spellStart"/>
      <w:r w:rsidRPr="00BE7EC2">
        <w:rPr>
          <w:bCs/>
        </w:rPr>
        <w:t>cabriobusom</w:t>
      </w:r>
      <w:proofErr w:type="spellEnd"/>
      <w:r w:rsidRPr="00BE7EC2">
        <w:rPr>
          <w:bCs/>
        </w:rPr>
        <w:t xml:space="preserve">  (alebo pešia prehliadka Starého mesta) s primátorom Bratislavy Matúšom Vallom (Dóm Sv. Martina, Stará Radnica, Primaciálny palác </w:t>
      </w:r>
      <w:proofErr w:type="spellStart"/>
      <w:r w:rsidRPr="00BE7EC2">
        <w:rPr>
          <w:bCs/>
        </w:rPr>
        <w:t>ap</w:t>
      </w:r>
      <w:proofErr w:type="spellEnd"/>
      <w:r w:rsidRPr="00BE7EC2">
        <w:rPr>
          <w:bCs/>
        </w:rPr>
        <w:t>)</w:t>
      </w:r>
    </w:p>
    <w:p w14:paraId="18446EB7" w14:textId="5C8A3450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 xml:space="preserve">„TOP </w:t>
      </w:r>
      <w:proofErr w:type="spellStart"/>
      <w:r w:rsidRPr="00BE7EC2">
        <w:rPr>
          <w:bCs/>
        </w:rPr>
        <w:t>instagramové</w:t>
      </w:r>
      <w:proofErr w:type="spellEnd"/>
      <w:r w:rsidRPr="00BE7EC2">
        <w:rPr>
          <w:bCs/>
        </w:rPr>
        <w:t xml:space="preserve"> miesta“ v Bratislave s komentovanou prechádzkou (UFO, Modrý </w:t>
      </w:r>
      <w:r w:rsidRPr="00BE7EC2">
        <w:rPr>
          <w:bCs/>
        </w:rPr>
        <w:lastRenderedPageBreak/>
        <w:t>Kostolík, z</w:t>
      </w:r>
      <w:r w:rsidR="00201523">
        <w:rPr>
          <w:bCs/>
        </w:rPr>
        <w:t>m</w:t>
      </w:r>
      <w:r w:rsidRPr="00BE7EC2">
        <w:rPr>
          <w:bCs/>
        </w:rPr>
        <w:t xml:space="preserve">rzlina v KOUN, </w:t>
      </w:r>
      <w:proofErr w:type="spellStart"/>
      <w:r w:rsidRPr="00BE7EC2">
        <w:rPr>
          <w:bCs/>
        </w:rPr>
        <w:t>Tyršovo</w:t>
      </w:r>
      <w:proofErr w:type="spellEnd"/>
      <w:r w:rsidRPr="00BE7EC2">
        <w:rPr>
          <w:bCs/>
        </w:rPr>
        <w:t xml:space="preserve"> nábrežie, Sad Janka Kráľa..) </w:t>
      </w:r>
    </w:p>
    <w:p w14:paraId="14582C37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 xml:space="preserve">„TOP vyhliadky </w:t>
      </w:r>
      <w:proofErr w:type="spellStart"/>
      <w:r w:rsidRPr="00BE7EC2">
        <w:rPr>
          <w:bCs/>
        </w:rPr>
        <w:t>tour</w:t>
      </w:r>
      <w:proofErr w:type="spellEnd"/>
      <w:r w:rsidRPr="00BE7EC2">
        <w:rPr>
          <w:bCs/>
        </w:rPr>
        <w:t xml:space="preserve">“  v Bratislave (z budovy Starej Radnice, UFO, Slavín, z Michalskej veže, z Kamzíka </w:t>
      </w:r>
      <w:proofErr w:type="spellStart"/>
      <w:r w:rsidRPr="00BE7EC2">
        <w:rPr>
          <w:bCs/>
        </w:rPr>
        <w:t>ap</w:t>
      </w:r>
      <w:proofErr w:type="spellEnd"/>
      <w:r w:rsidRPr="00BE7EC2">
        <w:rPr>
          <w:bCs/>
        </w:rPr>
        <w:t>)</w:t>
      </w:r>
    </w:p>
    <w:p w14:paraId="15A4E345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 xml:space="preserve">„Čo robia miestni </w:t>
      </w:r>
      <w:proofErr w:type="spellStart"/>
      <w:r w:rsidRPr="00BE7EC2">
        <w:rPr>
          <w:bCs/>
        </w:rPr>
        <w:t>tour</w:t>
      </w:r>
      <w:proofErr w:type="spellEnd"/>
      <w:r w:rsidRPr="00BE7EC2">
        <w:rPr>
          <w:bCs/>
        </w:rPr>
        <w:t xml:space="preserve">“  - dáme si pivo v meštianskom pivovare, </w:t>
      </w:r>
      <w:proofErr w:type="spellStart"/>
      <w:r w:rsidRPr="00BE7EC2">
        <w:rPr>
          <w:bCs/>
        </w:rPr>
        <w:t>pokávičkujeme</w:t>
      </w:r>
      <w:proofErr w:type="spellEnd"/>
      <w:r w:rsidRPr="00BE7EC2">
        <w:rPr>
          <w:bCs/>
        </w:rPr>
        <w:t xml:space="preserve"> v Urban </w:t>
      </w:r>
      <w:proofErr w:type="spellStart"/>
      <w:r w:rsidRPr="00BE7EC2">
        <w:rPr>
          <w:bCs/>
        </w:rPr>
        <w:t>house</w:t>
      </w:r>
      <w:proofErr w:type="spellEnd"/>
      <w:r w:rsidRPr="00BE7EC2">
        <w:rPr>
          <w:bCs/>
        </w:rPr>
        <w:t xml:space="preserve">, dáme si obed vo </w:t>
      </w:r>
      <w:proofErr w:type="spellStart"/>
      <w:r w:rsidRPr="00BE7EC2">
        <w:rPr>
          <w:bCs/>
        </w:rPr>
        <w:t>Flagshipe</w:t>
      </w:r>
      <w:proofErr w:type="spellEnd"/>
      <w:r w:rsidRPr="00BE7EC2">
        <w:rPr>
          <w:bCs/>
        </w:rPr>
        <w:t xml:space="preserve">, oddýchneme si v Galérii mesta Bratislava, nakúpime darčeky na promenáde v Eurovea.. </w:t>
      </w:r>
    </w:p>
    <w:p w14:paraId="71AF84C3" w14:textId="443FEEA8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>Ochutnávka najlepších vín v Národnom salóne vín v Bratislave (Národný salón vín, poklad všetkých milovníkov vína, sa nachádza v historickej časti </w:t>
      </w:r>
      <w:proofErr w:type="spellStart"/>
      <w:r w:rsidR="00924529" w:rsidRPr="00AF7299">
        <w:rPr>
          <w:bCs/>
        </w:rPr>
        <w:t>Apponnyiho</w:t>
      </w:r>
      <w:proofErr w:type="spellEnd"/>
      <w:r w:rsidR="00924529" w:rsidRPr="00AF7299">
        <w:rPr>
          <w:bCs/>
        </w:rPr>
        <w:t xml:space="preserve"> paláca – v Múzeu vinohradníctva a vinárstva v Bratislave</w:t>
      </w:r>
      <w:r w:rsidRPr="00BE7EC2">
        <w:rPr>
          <w:bCs/>
        </w:rPr>
        <w:t xml:space="preserve">. ) </w:t>
      </w:r>
    </w:p>
    <w:p w14:paraId="75851D9B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 xml:space="preserve">Komentovaná prehliadka bratislavského a  </w:t>
      </w:r>
      <w:proofErr w:type="spellStart"/>
      <w:r w:rsidRPr="00BE7EC2">
        <w:rPr>
          <w:bCs/>
        </w:rPr>
        <w:t>zrekonštrukovanej</w:t>
      </w:r>
      <w:proofErr w:type="spellEnd"/>
      <w:r w:rsidRPr="00BE7EC2">
        <w:rPr>
          <w:bCs/>
        </w:rPr>
        <w:t xml:space="preserve"> Kochovej záhrady na </w:t>
      </w:r>
      <w:proofErr w:type="spellStart"/>
      <w:r w:rsidRPr="00BE7EC2">
        <w:rPr>
          <w:bCs/>
        </w:rPr>
        <w:t>Palisádoch</w:t>
      </w:r>
      <w:proofErr w:type="spellEnd"/>
    </w:p>
    <w:p w14:paraId="0ECDAB63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proofErr w:type="spellStart"/>
      <w:r w:rsidRPr="00BE7EC2">
        <w:rPr>
          <w:bCs/>
        </w:rPr>
        <w:t>Rýchločlny</w:t>
      </w:r>
      <w:proofErr w:type="spellEnd"/>
      <w:r w:rsidRPr="00BE7EC2">
        <w:rPr>
          <w:bCs/>
        </w:rPr>
        <w:t xml:space="preserve"> na Dunaji alebo splav Malého Dunaja </w:t>
      </w:r>
    </w:p>
    <w:p w14:paraId="0334B3FC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proofErr w:type="spellStart"/>
      <w:r w:rsidRPr="00BE7EC2">
        <w:rPr>
          <w:bCs/>
        </w:rPr>
        <w:t>Wine</w:t>
      </w:r>
      <w:proofErr w:type="spellEnd"/>
      <w:r w:rsidRPr="00BE7EC2">
        <w:rPr>
          <w:bCs/>
        </w:rPr>
        <w:t xml:space="preserve"> Safari v Svätom Jure </w:t>
      </w:r>
    </w:p>
    <w:p w14:paraId="17E974CF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 xml:space="preserve">Výlet loďou do galéria súčasného umenia Danubiana </w:t>
      </w:r>
      <w:proofErr w:type="spellStart"/>
      <w:r w:rsidRPr="00BE7EC2">
        <w:rPr>
          <w:bCs/>
        </w:rPr>
        <w:t>Meulensteen</w:t>
      </w:r>
      <w:proofErr w:type="spellEnd"/>
      <w:r w:rsidRPr="00BE7EC2">
        <w:rPr>
          <w:bCs/>
        </w:rPr>
        <w:t xml:space="preserve"> Art </w:t>
      </w:r>
      <w:proofErr w:type="spellStart"/>
      <w:r w:rsidRPr="00BE7EC2">
        <w:rPr>
          <w:bCs/>
        </w:rPr>
        <w:t>Museum</w:t>
      </w:r>
      <w:proofErr w:type="spellEnd"/>
      <w:r w:rsidRPr="00BE7EC2">
        <w:rPr>
          <w:bCs/>
        </w:rPr>
        <w:t xml:space="preserve"> v Čunove - spojené s návštevou galérie (z Prístavu v Starom meste) </w:t>
      </w:r>
    </w:p>
    <w:p w14:paraId="7232EDC2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>Výlet loďou na Devín (z Prístavu v Starom meste)</w:t>
      </w:r>
    </w:p>
    <w:p w14:paraId="26D8240A" w14:textId="77777777" w:rsidR="00286981" w:rsidRPr="00BE7EC2" w:rsidRDefault="00286981" w:rsidP="00286981">
      <w:pPr>
        <w:pStyle w:val="Zkladntext"/>
        <w:numPr>
          <w:ilvl w:val="0"/>
          <w:numId w:val="12"/>
        </w:numPr>
        <w:spacing w:before="101"/>
        <w:ind w:right="233"/>
        <w:rPr>
          <w:bCs/>
        </w:rPr>
      </w:pPr>
      <w:r w:rsidRPr="00BE7EC2">
        <w:rPr>
          <w:bCs/>
        </w:rPr>
        <w:t>Návšteva SNG s potenciálom komentovanej prehliadky aktuálneho vystavovateľa/umelca</w:t>
      </w:r>
    </w:p>
    <w:p w14:paraId="4E182886" w14:textId="2CAA45AC" w:rsidR="00D33E68" w:rsidRPr="00BE7EC2" w:rsidRDefault="00286981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Napokon, k moderátorom uchádzač uviedol, že v rámci prípravy ponuky oslovil a zarezervoval moderátorov, ktorí moderujú spoločenské podujatia aj v angličtine. Do úvahy prichádzajú Andrea Pálffy-</w:t>
      </w:r>
      <w:proofErr w:type="spellStart"/>
      <w:r w:rsidRPr="00BE7EC2">
        <w:rPr>
          <w:bCs/>
        </w:rPr>
        <w:t>Belányiová</w:t>
      </w:r>
      <w:proofErr w:type="spellEnd"/>
      <w:r w:rsidRPr="00BE7EC2">
        <w:rPr>
          <w:bCs/>
        </w:rPr>
        <w:t xml:space="preserve">, Lucia Hurajová, </w:t>
      </w:r>
      <w:proofErr w:type="spellStart"/>
      <w:r w:rsidRPr="00BE7EC2">
        <w:rPr>
          <w:bCs/>
        </w:rPr>
        <w:t>Vera</w:t>
      </w:r>
      <w:proofErr w:type="spellEnd"/>
      <w:r w:rsidRPr="00BE7EC2">
        <w:rPr>
          <w:bCs/>
        </w:rPr>
        <w:t xml:space="preserve"> </w:t>
      </w:r>
      <w:proofErr w:type="spellStart"/>
      <w:r w:rsidRPr="00BE7EC2">
        <w:rPr>
          <w:bCs/>
        </w:rPr>
        <w:t>Wisterová</w:t>
      </w:r>
      <w:proofErr w:type="spellEnd"/>
      <w:r w:rsidRPr="00BE7EC2">
        <w:rPr>
          <w:bCs/>
        </w:rPr>
        <w:t xml:space="preserve">, Bruno </w:t>
      </w:r>
      <w:proofErr w:type="spellStart"/>
      <w:r w:rsidRPr="00BE7EC2">
        <w:rPr>
          <w:bCs/>
        </w:rPr>
        <w:t>Ciberej</w:t>
      </w:r>
      <w:proofErr w:type="spellEnd"/>
      <w:r w:rsidRPr="00BE7EC2">
        <w:rPr>
          <w:bCs/>
        </w:rPr>
        <w:t xml:space="preserve">, Roman </w:t>
      </w:r>
      <w:proofErr w:type="spellStart"/>
      <w:r w:rsidRPr="00BE7EC2">
        <w:rPr>
          <w:bCs/>
        </w:rPr>
        <w:t>Juraško</w:t>
      </w:r>
      <w:proofErr w:type="spellEnd"/>
      <w:r w:rsidRPr="00BE7EC2">
        <w:rPr>
          <w:bCs/>
        </w:rPr>
        <w:t xml:space="preserve"> a Barbora Krajčírová.</w:t>
      </w:r>
    </w:p>
    <w:p w14:paraId="1C1CCCF3" w14:textId="1677FFF9" w:rsidR="00286981" w:rsidRPr="00BE7EC2" w:rsidRDefault="001553FC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Komisia </w:t>
      </w:r>
      <w:r w:rsidR="003E13EF" w:rsidRPr="00BE7EC2">
        <w:rPr>
          <w:bCs/>
        </w:rPr>
        <w:t>vysvetlenie uchádzača akceptovala s tým, že ho považuje za dostatočné a nezrovnalosti v ponuke za odstránené. Komisia v ponuke neidentifikovala žiadne ďalšie skutočnosti, ktoré by si vyžadovali potrebu ďalšieho vysvetľovania, a preto pristúpila k celkovému vyhodnoteniu ponuky.</w:t>
      </w:r>
    </w:p>
    <w:p w14:paraId="64D4F5AB" w14:textId="08A8AAAA" w:rsidR="003E13EF" w:rsidRPr="00BE7EC2" w:rsidRDefault="002B2068" w:rsidP="00D33E68">
      <w:pPr>
        <w:pStyle w:val="Zkladntext"/>
        <w:spacing w:before="101"/>
        <w:ind w:right="233"/>
        <w:jc w:val="both"/>
        <w:rPr>
          <w:b/>
          <w:u w:val="single"/>
        </w:rPr>
      </w:pPr>
      <w:r w:rsidRPr="00BE7EC2">
        <w:rPr>
          <w:b/>
          <w:u w:val="single"/>
        </w:rPr>
        <w:t>Posúdenie splnenia požiadaviek v zmysle § 53 ZVO</w:t>
      </w:r>
    </w:p>
    <w:p w14:paraId="48DCB620" w14:textId="57E166F7" w:rsidR="002B2068" w:rsidRPr="00BE7EC2" w:rsidRDefault="002B2068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Komisia na úvod skonštatovala, že ponuka </w:t>
      </w:r>
      <w:r w:rsidR="00BC0FD4" w:rsidRPr="00BE7EC2">
        <w:rPr>
          <w:bCs/>
        </w:rPr>
        <w:t xml:space="preserve">nejaví známky mimoriadne nízkej ponuky a ani nie sú </w:t>
      </w:r>
      <w:r w:rsidR="006F7970" w:rsidRPr="00BE7EC2">
        <w:rPr>
          <w:bCs/>
        </w:rPr>
        <w:t xml:space="preserve">z povahy veci </w:t>
      </w:r>
      <w:r w:rsidR="00BC0FD4" w:rsidRPr="00BE7EC2">
        <w:rPr>
          <w:bCs/>
        </w:rPr>
        <w:t xml:space="preserve">naplnené predpoklady </w:t>
      </w:r>
      <w:r w:rsidR="006F7970" w:rsidRPr="00BE7EC2">
        <w:rPr>
          <w:bCs/>
        </w:rPr>
        <w:t xml:space="preserve">podľa § 53 ods. 3 ZVO (ide o reverznú verejnú súťaž a ani nešlo o najnižšiu ponukovú cenu). </w:t>
      </w:r>
    </w:p>
    <w:p w14:paraId="64562D9A" w14:textId="4BC5709B" w:rsidR="004334D2" w:rsidRPr="00BE7EC2" w:rsidRDefault="004334D2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S ohľadom aj na poskytnuté vysvetlenie komisia skonštatovala, že požiadavky na predmet zákazky považuje za splnené. </w:t>
      </w:r>
    </w:p>
    <w:p w14:paraId="23733C22" w14:textId="1813D67B" w:rsidR="004334D2" w:rsidRPr="00BE7EC2" w:rsidRDefault="004334D2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Zábezpeka nebola vyžadovaná. </w:t>
      </w:r>
    </w:p>
    <w:p w14:paraId="7DADAE95" w14:textId="77777777" w:rsidR="00643EBB" w:rsidRPr="00BE7EC2" w:rsidRDefault="00643EBB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Pre úplnosť komisia skonštatovala, že nedošlo k naplneniu žiadneho z dôvodov na vylúčenie ponuky podľa § 53 ods. 5 ZVO. </w:t>
      </w:r>
    </w:p>
    <w:p w14:paraId="531989A9" w14:textId="330E77BD" w:rsidR="00286981" w:rsidRPr="00BE7EC2" w:rsidRDefault="00643EBB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Na základe toho komisia pristúpila k posúdeniu splnenia podmienok účasti a neexistencie dôvodov na vylúčenie podľa § 40 ZVO.</w:t>
      </w:r>
    </w:p>
    <w:p w14:paraId="01EDD0E3" w14:textId="44B77104" w:rsidR="00643EBB" w:rsidRPr="00BE7EC2" w:rsidRDefault="00643EBB" w:rsidP="00643EBB">
      <w:pPr>
        <w:pStyle w:val="Zkladntext"/>
        <w:spacing w:before="101"/>
        <w:ind w:right="233"/>
        <w:jc w:val="both"/>
        <w:rPr>
          <w:b/>
          <w:u w:val="single"/>
        </w:rPr>
      </w:pPr>
      <w:r w:rsidRPr="00BE7EC2">
        <w:rPr>
          <w:b/>
          <w:u w:val="single"/>
        </w:rPr>
        <w:t>Posúdenie splnenia podmienok v zmysle § 40 ZVO</w:t>
      </w:r>
    </w:p>
    <w:p w14:paraId="621B0C84" w14:textId="2AEF9905" w:rsidR="00690A91" w:rsidRPr="00BE7EC2" w:rsidRDefault="00690A91" w:rsidP="0038634E">
      <w:pPr>
        <w:pStyle w:val="Zkladntext"/>
        <w:spacing w:before="101"/>
        <w:ind w:right="233"/>
        <w:jc w:val="both"/>
        <w:rPr>
          <w:b/>
        </w:rPr>
      </w:pPr>
      <w:r w:rsidRPr="00BE7EC2">
        <w:rPr>
          <w:b/>
        </w:rPr>
        <w:t xml:space="preserve">Osobné postavenie </w:t>
      </w:r>
    </w:p>
    <w:p w14:paraId="4CC5B63D" w14:textId="76407A66" w:rsidR="0038634E" w:rsidRPr="00BE7EC2" w:rsidRDefault="0099144C" w:rsidP="0038634E">
      <w:pPr>
        <w:pStyle w:val="Zkladntext"/>
        <w:spacing w:before="101"/>
        <w:ind w:right="233"/>
        <w:jc w:val="both"/>
      </w:pPr>
      <w:r w:rsidRPr="00BE7EC2">
        <w:rPr>
          <w:bCs/>
        </w:rPr>
        <w:t xml:space="preserve">Uchádzač je zapísaný v zozname hospodárskych subjektov (č. zápisu </w:t>
      </w:r>
      <w:r w:rsidRPr="00BE7EC2">
        <w:t>2023/8-PO-G3847), ktorý je platný do</w:t>
      </w:r>
      <w:r w:rsidR="0020440D" w:rsidRPr="00BE7EC2">
        <w:t xml:space="preserve"> 08.08.2026. Lustráciou „internetového“ výpisu z obchodného registra (www.orsr.sk) bolo zistené, že rozsah osôb oprávnených konať za uchádzača je totožný </w:t>
      </w:r>
      <w:r w:rsidR="00924529">
        <w:t>s</w:t>
      </w:r>
      <w:r w:rsidR="00924529" w:rsidRPr="00BE7EC2">
        <w:t xml:space="preserve"> </w:t>
      </w:r>
      <w:r w:rsidR="0020440D" w:rsidRPr="00BE7EC2">
        <w:t>osob</w:t>
      </w:r>
      <w:r w:rsidR="00924529">
        <w:t>a</w:t>
      </w:r>
      <w:r w:rsidR="0020440D" w:rsidRPr="00BE7EC2">
        <w:t>m</w:t>
      </w:r>
      <w:r w:rsidR="00924529">
        <w:t>i</w:t>
      </w:r>
      <w:r w:rsidR="0020440D" w:rsidRPr="00BE7EC2">
        <w:t>, za ktoré boli predkladané doklady na účely zápisu do zoznamu hospodárskych subjektov. Lustráciou zoznamu dlžníkov na webovom sídle Sociálnej poisťovne a zdravotných poisťovní bolo zistené, že uchádzač ku dňu 11.6.2024 nie je evidovaný v žiadnom zo zoznamov dlžníkov. Uchádzač sa napokon nenachádza</w:t>
      </w:r>
      <w:r w:rsidR="0038634E" w:rsidRPr="00BE7EC2">
        <w:t xml:space="preserve"> ani v zozname osôb s uloženým zákazom účasti vedenom ÚVO a ani v zozname právoplatne odsúdených právnických osôb vedenom GP SR.</w:t>
      </w:r>
    </w:p>
    <w:p w14:paraId="0B30B0CF" w14:textId="22A48FF2" w:rsidR="00643EBB" w:rsidRPr="00BE7EC2" w:rsidRDefault="0020440D" w:rsidP="00D33E68">
      <w:pPr>
        <w:pStyle w:val="Zkladntext"/>
        <w:spacing w:before="101"/>
        <w:ind w:right="233"/>
        <w:jc w:val="both"/>
      </w:pPr>
      <w:r w:rsidRPr="00BE7EC2">
        <w:t xml:space="preserve">Vzhľadom na </w:t>
      </w:r>
      <w:r w:rsidR="00924529">
        <w:t>uvedené</w:t>
      </w:r>
      <w:r w:rsidRPr="00BE7EC2">
        <w:t xml:space="preserve"> </w:t>
      </w:r>
      <w:r w:rsidR="0038634E" w:rsidRPr="00BE7EC2">
        <w:t>údaje z verejne dostupných registro</w:t>
      </w:r>
      <w:r w:rsidR="00B7051D" w:rsidRPr="00BE7EC2">
        <w:t>v</w:t>
      </w:r>
      <w:r w:rsidR="0038634E" w:rsidRPr="00BE7EC2">
        <w:t xml:space="preserve"> nezaložili pochybnosti o relevantnosti ú</w:t>
      </w:r>
      <w:r w:rsidRPr="00BE7EC2">
        <w:t>daj</w:t>
      </w:r>
      <w:r w:rsidR="0038634E" w:rsidRPr="00BE7EC2">
        <w:t>ov zapísaných</w:t>
      </w:r>
      <w:r w:rsidR="00B7051D" w:rsidRPr="00BE7EC2">
        <w:t xml:space="preserve"> v zozname hospodárskych subjektov. </w:t>
      </w:r>
    </w:p>
    <w:p w14:paraId="6EAD7088" w14:textId="25DCFC69" w:rsidR="005061E5" w:rsidRPr="00BE7EC2" w:rsidRDefault="005061E5" w:rsidP="00D33E68">
      <w:pPr>
        <w:pStyle w:val="Zkladntext"/>
        <w:spacing w:before="101"/>
        <w:ind w:right="233"/>
        <w:jc w:val="both"/>
      </w:pPr>
      <w:r w:rsidRPr="00BE7EC2">
        <w:lastRenderedPageBreak/>
        <w:t xml:space="preserve">Komisia tak skonštatovala splnenie podmienok účasti osobného postavenia. </w:t>
      </w:r>
    </w:p>
    <w:p w14:paraId="713DD56C" w14:textId="08F5CC3A" w:rsidR="00643EBB" w:rsidRPr="00BE7EC2" w:rsidRDefault="00690A91" w:rsidP="00D33E68">
      <w:pPr>
        <w:pStyle w:val="Zkladntext"/>
        <w:spacing w:before="101"/>
        <w:ind w:right="233"/>
        <w:jc w:val="both"/>
        <w:rPr>
          <w:b/>
        </w:rPr>
      </w:pPr>
      <w:r w:rsidRPr="00BE7EC2">
        <w:rPr>
          <w:b/>
        </w:rPr>
        <w:t>Finančné a ekonomické postavenie</w:t>
      </w:r>
    </w:p>
    <w:p w14:paraId="513EC4B7" w14:textId="1E32F82E" w:rsidR="00690A91" w:rsidRPr="00BE7EC2" w:rsidRDefault="005A624C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Splnenie požiadavky na minimálnu výšku obratu v oblasti predmetu zákazky (600 000 eur súhrnne za predchádzajúce tri roky) komisia overila na základe predlože</w:t>
      </w:r>
      <w:r w:rsidR="00D2199D" w:rsidRPr="00BE7EC2">
        <w:rPr>
          <w:bCs/>
        </w:rPr>
        <w:t>ných účtovných závierok (2023-2021), z ktorých vyplýva celkový obrat za dané obdobie na úrovni cca. 14,2 mil. eur a uchádzačom uvádzaných hodnôt referenčných zákaziek</w:t>
      </w:r>
      <w:r w:rsidR="005061E5" w:rsidRPr="00BE7EC2">
        <w:rPr>
          <w:bCs/>
        </w:rPr>
        <w:t xml:space="preserve"> v predchádzajúcich troch rokoch</w:t>
      </w:r>
      <w:r w:rsidR="00D2199D" w:rsidRPr="00BE7EC2">
        <w:rPr>
          <w:bCs/>
        </w:rPr>
        <w:t xml:space="preserve">, ktoré uchádzač predložil </w:t>
      </w:r>
      <w:r w:rsidR="005061E5" w:rsidRPr="00BE7EC2">
        <w:rPr>
          <w:bCs/>
        </w:rPr>
        <w:t xml:space="preserve">v zozname </w:t>
      </w:r>
      <w:r w:rsidR="00D2199D" w:rsidRPr="00BE7EC2">
        <w:rPr>
          <w:bCs/>
        </w:rPr>
        <w:t>na účely preukázania podmienky podľa § 34 ods. 1 písm. a) ZVO</w:t>
      </w:r>
      <w:r w:rsidR="005061E5" w:rsidRPr="00BE7EC2">
        <w:rPr>
          <w:bCs/>
        </w:rPr>
        <w:t xml:space="preserve">, </w:t>
      </w:r>
      <w:r w:rsidR="00924529">
        <w:rPr>
          <w:bCs/>
        </w:rPr>
        <w:t xml:space="preserve">a </w:t>
      </w:r>
      <w:r w:rsidR="005061E5" w:rsidRPr="00BE7EC2">
        <w:rPr>
          <w:bCs/>
        </w:rPr>
        <w:t>ktor</w:t>
      </w:r>
      <w:r w:rsidR="00924529">
        <w:rPr>
          <w:bCs/>
        </w:rPr>
        <w:t>ých hodnota</w:t>
      </w:r>
      <w:r w:rsidR="005061E5" w:rsidRPr="00BE7EC2">
        <w:rPr>
          <w:bCs/>
        </w:rPr>
        <w:t xml:space="preserve"> prekročila požadovanú hodnotu 600 000 eur.</w:t>
      </w:r>
    </w:p>
    <w:p w14:paraId="0B379AEF" w14:textId="570FBAD6" w:rsidR="005061E5" w:rsidRPr="00BE7EC2" w:rsidRDefault="005061E5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Komisia tak skonštatovala splnenie podmienok účasti finančného a ekonomického postavenia.</w:t>
      </w:r>
    </w:p>
    <w:p w14:paraId="62BF71C6" w14:textId="4A0D4FBE" w:rsidR="005061E5" w:rsidRPr="00BE7EC2" w:rsidRDefault="005061E5" w:rsidP="00D33E68">
      <w:pPr>
        <w:pStyle w:val="Zkladntext"/>
        <w:spacing w:before="101"/>
        <w:ind w:right="233"/>
        <w:jc w:val="both"/>
        <w:rPr>
          <w:b/>
        </w:rPr>
      </w:pPr>
      <w:r w:rsidRPr="00BE7EC2">
        <w:rPr>
          <w:b/>
        </w:rPr>
        <w:t xml:space="preserve">Technická alebo odborná spôsobilosť </w:t>
      </w:r>
    </w:p>
    <w:p w14:paraId="0F37885C" w14:textId="2467B835" w:rsidR="005061E5" w:rsidRPr="00BE7EC2" w:rsidRDefault="005061E5" w:rsidP="00D33E68">
      <w:pPr>
        <w:pStyle w:val="Zkladntext"/>
        <w:spacing w:before="101"/>
        <w:ind w:right="233"/>
        <w:jc w:val="both"/>
        <w:rPr>
          <w:bCs/>
        </w:rPr>
      </w:pPr>
      <w:bookmarkStart w:id="4" w:name="_Hlk169083363"/>
      <w:r w:rsidRPr="00BE7EC2">
        <w:rPr>
          <w:bCs/>
        </w:rPr>
        <w:t xml:space="preserve">Na účely splnenia podmienky účasti </w:t>
      </w:r>
      <w:r w:rsidR="004321F6" w:rsidRPr="00BE7EC2">
        <w:rPr>
          <w:bCs/>
        </w:rPr>
        <w:t xml:space="preserve">podľa § 34 ods. 1 písm. a) ZVO </w:t>
      </w:r>
      <w:r w:rsidRPr="00BE7EC2">
        <w:rPr>
          <w:bCs/>
        </w:rPr>
        <w:t xml:space="preserve">uchádzač </w:t>
      </w:r>
      <w:bookmarkStart w:id="5" w:name="_Hlk169083415"/>
      <w:r w:rsidRPr="00BE7EC2">
        <w:rPr>
          <w:bCs/>
        </w:rPr>
        <w:t xml:space="preserve">predložil zoznam obsahujúci organizáciu podujatí pre piatich odberateľov </w:t>
      </w:r>
      <w:r w:rsidR="00296E62" w:rsidRPr="00BE7EC2">
        <w:rPr>
          <w:bCs/>
        </w:rPr>
        <w:t>(Dôvera zdravotná poisťovňa a.s., SPP – distribúcia, a.s. LYRECO CE, SE, ESET, spol. s </w:t>
      </w:r>
      <w:proofErr w:type="spellStart"/>
      <w:r w:rsidR="00296E62" w:rsidRPr="00BE7EC2">
        <w:rPr>
          <w:bCs/>
        </w:rPr>
        <w:t>r.o</w:t>
      </w:r>
      <w:proofErr w:type="spellEnd"/>
      <w:r w:rsidR="00296E62" w:rsidRPr="00BE7EC2">
        <w:rPr>
          <w:bCs/>
        </w:rPr>
        <w:t>.</w:t>
      </w:r>
      <w:r w:rsidRPr="00BE7EC2">
        <w:rPr>
          <w:bCs/>
        </w:rPr>
        <w:t>, pričom niektoré podujatia sa konali počas viacerých rokov požadovaného referenčného obdobia. Aj s ohľadom na poskytnuté vysvetlenie zo strany uchádzača mohla komisia vysloviť záver, že z predložených údajov vyplýva</w:t>
      </w:r>
      <w:r w:rsidR="00296E62" w:rsidRPr="00BE7EC2">
        <w:rPr>
          <w:bCs/>
        </w:rPr>
        <w:t xml:space="preserve">, že </w:t>
      </w:r>
      <w:bookmarkStart w:id="6" w:name="_Hlk169073242"/>
      <w:r w:rsidR="00296E62" w:rsidRPr="00BE7EC2">
        <w:rPr>
          <w:bCs/>
        </w:rPr>
        <w:t>každé z podujatí bolo  rovnaké alebo podobné ako predmet zákazky a</w:t>
      </w:r>
      <w:r w:rsidR="00B442F3" w:rsidRPr="00BE7EC2">
        <w:rPr>
          <w:bCs/>
        </w:rPr>
        <w:t xml:space="preserve"> </w:t>
      </w:r>
      <w:r w:rsidR="00296E62" w:rsidRPr="00BE7EC2">
        <w:rPr>
          <w:bCs/>
        </w:rPr>
        <w:t>bol</w:t>
      </w:r>
      <w:r w:rsidR="00924529">
        <w:rPr>
          <w:bCs/>
        </w:rPr>
        <w:t>o</w:t>
      </w:r>
      <w:r w:rsidR="00296E62" w:rsidRPr="00BE7EC2">
        <w:rPr>
          <w:bCs/>
        </w:rPr>
        <w:t xml:space="preserve"> organizované pre viac ako 300 účastníkov</w:t>
      </w:r>
      <w:bookmarkEnd w:id="6"/>
      <w:r w:rsidR="00296E62" w:rsidRPr="00BE7EC2">
        <w:rPr>
          <w:bCs/>
        </w:rPr>
        <w:t>.</w:t>
      </w:r>
      <w:r w:rsidR="00AC54F2" w:rsidRPr="00BE7EC2">
        <w:rPr>
          <w:bCs/>
        </w:rPr>
        <w:t xml:space="preserve"> </w:t>
      </w:r>
      <w:r w:rsidR="00296E62" w:rsidRPr="00BE7EC2">
        <w:rPr>
          <w:bCs/>
        </w:rPr>
        <w:t>Re</w:t>
      </w:r>
      <w:r w:rsidR="00AC54F2" w:rsidRPr="00BE7EC2">
        <w:rPr>
          <w:bCs/>
        </w:rPr>
        <w:t xml:space="preserve">ferencie na podujatia s poskytnutím techniky, nábytku a cateringu uchádzač preukázal </w:t>
      </w:r>
      <w:r w:rsidR="004321F6" w:rsidRPr="00BE7EC2">
        <w:rPr>
          <w:bCs/>
        </w:rPr>
        <w:t xml:space="preserve">napríklad v súvislosti s </w:t>
      </w:r>
      <w:r w:rsidR="00AC54F2" w:rsidRPr="00BE7EC2">
        <w:rPr>
          <w:bCs/>
        </w:rPr>
        <w:t>podujatia</w:t>
      </w:r>
      <w:r w:rsidR="004321F6" w:rsidRPr="00BE7EC2">
        <w:rPr>
          <w:bCs/>
        </w:rPr>
        <w:t>mi</w:t>
      </w:r>
      <w:r w:rsidR="00AC54F2" w:rsidRPr="00BE7EC2">
        <w:rPr>
          <w:bCs/>
        </w:rPr>
        <w:t xml:space="preserve"> pre ESET, spol. s </w:t>
      </w:r>
      <w:proofErr w:type="spellStart"/>
      <w:r w:rsidR="00AC54F2" w:rsidRPr="00BE7EC2">
        <w:rPr>
          <w:bCs/>
        </w:rPr>
        <w:t>r.o</w:t>
      </w:r>
      <w:proofErr w:type="spellEnd"/>
      <w:r w:rsidR="00AC54F2" w:rsidRPr="00BE7EC2">
        <w:rPr>
          <w:bCs/>
        </w:rPr>
        <w:t xml:space="preserve">. (ESET </w:t>
      </w:r>
      <w:proofErr w:type="spellStart"/>
      <w:r w:rsidR="00AC54F2" w:rsidRPr="00BE7EC2">
        <w:rPr>
          <w:bCs/>
        </w:rPr>
        <w:t>Science</w:t>
      </w:r>
      <w:proofErr w:type="spellEnd"/>
      <w:r w:rsidR="00AC54F2" w:rsidRPr="00BE7EC2">
        <w:rPr>
          <w:bCs/>
        </w:rPr>
        <w:t xml:space="preserve"> </w:t>
      </w:r>
      <w:proofErr w:type="spellStart"/>
      <w:r w:rsidR="00AC54F2" w:rsidRPr="00BE7EC2">
        <w:rPr>
          <w:bCs/>
        </w:rPr>
        <w:t>Award</w:t>
      </w:r>
      <w:proofErr w:type="spellEnd"/>
      <w:r w:rsidR="00AC54F2" w:rsidRPr="00BE7EC2">
        <w:rPr>
          <w:bCs/>
        </w:rPr>
        <w:t>) a LYRECO CE, SE (odborná konferencia pre manažment</w:t>
      </w:r>
      <w:r w:rsidR="004321F6" w:rsidRPr="00BE7EC2">
        <w:rPr>
          <w:bCs/>
        </w:rPr>
        <w:t xml:space="preserve"> spoločnosti</w:t>
      </w:r>
      <w:r w:rsidR="00AC54F2" w:rsidRPr="00BE7EC2">
        <w:rPr>
          <w:bCs/>
        </w:rPr>
        <w:t>)</w:t>
      </w:r>
      <w:r w:rsidR="004321F6" w:rsidRPr="00BE7EC2">
        <w:rPr>
          <w:bCs/>
        </w:rPr>
        <w:t>.</w:t>
      </w:r>
      <w:bookmarkEnd w:id="5"/>
    </w:p>
    <w:p w14:paraId="71CDDAD1" w14:textId="10140FA7" w:rsidR="00002BFF" w:rsidRPr="00BE7EC2" w:rsidRDefault="004321F6" w:rsidP="00D33E68">
      <w:pPr>
        <w:pStyle w:val="Zkladntext"/>
        <w:spacing w:before="101"/>
        <w:ind w:right="233"/>
        <w:jc w:val="both"/>
        <w:rPr>
          <w:bCs/>
        </w:rPr>
      </w:pPr>
      <w:bookmarkStart w:id="7" w:name="_Hlk169073631"/>
      <w:r w:rsidRPr="00BE7EC2">
        <w:rPr>
          <w:bCs/>
        </w:rPr>
        <w:t xml:space="preserve">Podmienku účasti podľa § 34 ods. 1 písm. g) ZVO uchádzač aj s ohľadom na poskytnuté vysvetlenie preukázal prostredníctvom internej kapacity p. Lukáša Kočiša. </w:t>
      </w:r>
      <w:bookmarkStart w:id="8" w:name="_Hlk169083540"/>
      <w:bookmarkEnd w:id="7"/>
      <w:r w:rsidRPr="00BE7EC2">
        <w:rPr>
          <w:bCs/>
        </w:rPr>
        <w:t>Z predloženého profes</w:t>
      </w:r>
      <w:r w:rsidR="000F7CDE" w:rsidRPr="00BE7EC2">
        <w:rPr>
          <w:bCs/>
        </w:rPr>
        <w:t>ijn</w:t>
      </w:r>
      <w:r w:rsidRPr="00BE7EC2">
        <w:rPr>
          <w:bCs/>
        </w:rPr>
        <w:t xml:space="preserve">ého životopisu, </w:t>
      </w:r>
      <w:r w:rsidR="00002BFF" w:rsidRPr="00BE7EC2">
        <w:rPr>
          <w:bCs/>
        </w:rPr>
        <w:t>v </w:t>
      </w:r>
      <w:r w:rsidRPr="00BE7EC2">
        <w:rPr>
          <w:bCs/>
        </w:rPr>
        <w:t>ktor</w:t>
      </w:r>
      <w:r w:rsidR="00002BFF" w:rsidRPr="00BE7EC2">
        <w:rPr>
          <w:bCs/>
        </w:rPr>
        <w:t>om uvádza</w:t>
      </w:r>
      <w:r w:rsidRPr="00BE7EC2">
        <w:rPr>
          <w:bCs/>
        </w:rPr>
        <w:t xml:space="preserve">, že </w:t>
      </w:r>
      <w:r w:rsidR="00002BFF" w:rsidRPr="00BE7EC2">
        <w:rPr>
          <w:bCs/>
        </w:rPr>
        <w:t>má 13 ročné skúsenosti s organizovaním eventov, pričom zo životopisu vyplývajú skúsenosti na pozíciách:</w:t>
      </w:r>
    </w:p>
    <w:p w14:paraId="3DAE797A" w14:textId="682E9B1D" w:rsidR="00A473B3" w:rsidRPr="00BE7EC2" w:rsidRDefault="00002BFF" w:rsidP="00A473B3">
      <w:pPr>
        <w:pStyle w:val="Zkladntext"/>
        <w:numPr>
          <w:ilvl w:val="0"/>
          <w:numId w:val="12"/>
        </w:numPr>
        <w:spacing w:before="101"/>
        <w:ind w:right="233"/>
        <w:jc w:val="both"/>
        <w:rPr>
          <w:bCs/>
        </w:rPr>
      </w:pPr>
      <w:proofErr w:type="spellStart"/>
      <w:r w:rsidRPr="00BE7EC2">
        <w:rPr>
          <w:bCs/>
        </w:rPr>
        <w:t>Client</w:t>
      </w:r>
      <w:proofErr w:type="spellEnd"/>
      <w:r w:rsidRPr="00BE7EC2">
        <w:rPr>
          <w:bCs/>
        </w:rPr>
        <w:t xml:space="preserve"> </w:t>
      </w:r>
      <w:proofErr w:type="spellStart"/>
      <w:r w:rsidRPr="00BE7EC2">
        <w:rPr>
          <w:bCs/>
        </w:rPr>
        <w:t>service</w:t>
      </w:r>
      <w:proofErr w:type="spellEnd"/>
      <w:r w:rsidRPr="00BE7EC2">
        <w:rPr>
          <w:bCs/>
        </w:rPr>
        <w:t xml:space="preserve"> </w:t>
      </w:r>
      <w:proofErr w:type="spellStart"/>
      <w:r w:rsidRPr="00BE7EC2">
        <w:rPr>
          <w:bCs/>
        </w:rPr>
        <w:t>director</w:t>
      </w:r>
      <w:proofErr w:type="spellEnd"/>
      <w:r w:rsidRPr="00BE7EC2">
        <w:rPr>
          <w:bCs/>
        </w:rPr>
        <w:t xml:space="preserve"> (2021- súčasnosť) obsahujúcu starostlivosť o klientov, aktívne vyhľadávanie obchodných príležitostí, zodpovednosť za obchodný plán spoločnosti, </w:t>
      </w:r>
      <w:proofErr w:type="spellStart"/>
      <w:r w:rsidRPr="00BE7EC2">
        <w:rPr>
          <w:bCs/>
        </w:rPr>
        <w:t>kontrolling</w:t>
      </w:r>
      <w:proofErr w:type="spellEnd"/>
      <w:r w:rsidRPr="00BE7EC2">
        <w:rPr>
          <w:bCs/>
        </w:rPr>
        <w:t>, manažovanie t</w:t>
      </w:r>
      <w:r w:rsidR="005A3213" w:rsidRPr="00BE7EC2">
        <w:rPr>
          <w:bCs/>
        </w:rPr>
        <w:t>í</w:t>
      </w:r>
      <w:r w:rsidRPr="00BE7EC2">
        <w:rPr>
          <w:bCs/>
        </w:rPr>
        <w:t>mu, v rámci priamej organizácie eventov životopis uvádza klientov, ako aj to, že išlo o slávnostné eventy, výročné eventy,</w:t>
      </w:r>
      <w:r w:rsidR="005A3213" w:rsidRPr="00BE7EC2">
        <w:rPr>
          <w:bCs/>
        </w:rPr>
        <w:t xml:space="preserve"> konferencie</w:t>
      </w:r>
      <w:r w:rsidRPr="00BE7EC2">
        <w:rPr>
          <w:bCs/>
        </w:rPr>
        <w:t xml:space="preserve"> VIP eventy</w:t>
      </w:r>
    </w:p>
    <w:p w14:paraId="2C5D107A" w14:textId="57C300B3" w:rsidR="004321F6" w:rsidRPr="00BE7EC2" w:rsidRDefault="00002BFF" w:rsidP="00002BFF">
      <w:pPr>
        <w:pStyle w:val="Zkladntext"/>
        <w:numPr>
          <w:ilvl w:val="0"/>
          <w:numId w:val="12"/>
        </w:numPr>
        <w:spacing w:before="101"/>
        <w:ind w:right="233"/>
        <w:jc w:val="both"/>
        <w:rPr>
          <w:bCs/>
        </w:rPr>
      </w:pPr>
      <w:proofErr w:type="spellStart"/>
      <w:r w:rsidRPr="00BE7EC2">
        <w:rPr>
          <w:bCs/>
        </w:rPr>
        <w:t>Account</w:t>
      </w:r>
      <w:proofErr w:type="spellEnd"/>
      <w:r w:rsidRPr="00BE7EC2">
        <w:rPr>
          <w:bCs/>
        </w:rPr>
        <w:t xml:space="preserve"> </w:t>
      </w:r>
      <w:proofErr w:type="spellStart"/>
      <w:r w:rsidRPr="00BE7EC2">
        <w:rPr>
          <w:bCs/>
        </w:rPr>
        <w:t>director</w:t>
      </w:r>
      <w:proofErr w:type="spellEnd"/>
      <w:r w:rsidRPr="00BE7EC2">
        <w:rPr>
          <w:bCs/>
        </w:rPr>
        <w:t>/</w:t>
      </w:r>
      <w:proofErr w:type="spellStart"/>
      <w:r w:rsidRPr="00BE7EC2">
        <w:rPr>
          <w:bCs/>
        </w:rPr>
        <w:t>Account</w:t>
      </w:r>
      <w:proofErr w:type="spellEnd"/>
      <w:r w:rsidRPr="00BE7EC2">
        <w:rPr>
          <w:bCs/>
        </w:rPr>
        <w:t xml:space="preserve"> manager (2016-2020), </w:t>
      </w:r>
      <w:r w:rsidR="005A3213" w:rsidRPr="00BE7EC2">
        <w:rPr>
          <w:bCs/>
        </w:rPr>
        <w:t>obsahujúcu zodpovednosť za klientov, vypracovanie kreatívnych ideí, rozpočtovanie, organizáciu eventov, kontrolu výstupov manažovanie produkčného tímu a dodávateľov, v rámci priamej organizácie eventov životopis uvádza klientov, ako aj to, že išlo o slávnostné eventy, večierky, konferencie</w:t>
      </w:r>
    </w:p>
    <w:p w14:paraId="5DB22DA6" w14:textId="70EAA4A7" w:rsidR="005A3213" w:rsidRPr="00BE7EC2" w:rsidRDefault="005A3213" w:rsidP="00002BFF">
      <w:pPr>
        <w:pStyle w:val="Zkladntext"/>
        <w:numPr>
          <w:ilvl w:val="0"/>
          <w:numId w:val="12"/>
        </w:numPr>
        <w:spacing w:before="101"/>
        <w:ind w:right="233"/>
        <w:jc w:val="both"/>
        <w:rPr>
          <w:bCs/>
        </w:rPr>
      </w:pPr>
      <w:r w:rsidRPr="00BE7EC2">
        <w:rPr>
          <w:bCs/>
        </w:rPr>
        <w:t>Produkčný manažér (2011-2019), obsahujúcu organizáciu všetkých pracovníkov spadajúcich pod hudobný festival, prípravu produkčných plánov, stavbu zón a technické zabezpečenie zón</w:t>
      </w:r>
    </w:p>
    <w:p w14:paraId="57AAC2CD" w14:textId="419D5E4B" w:rsidR="005A3213" w:rsidRPr="00BE7EC2" w:rsidRDefault="005A3213" w:rsidP="00002BFF">
      <w:pPr>
        <w:pStyle w:val="Zkladntext"/>
        <w:numPr>
          <w:ilvl w:val="0"/>
          <w:numId w:val="12"/>
        </w:numPr>
        <w:spacing w:before="101"/>
        <w:ind w:right="233"/>
        <w:jc w:val="both"/>
        <w:rPr>
          <w:bCs/>
        </w:rPr>
      </w:pPr>
      <w:r w:rsidRPr="00BE7EC2">
        <w:rPr>
          <w:bCs/>
        </w:rPr>
        <w:t>Produkcia (2011-2015), obsahujúcu produkčné zabezpečenie výrob, organizáciu technických zložiek/štábov, zabezpečenie lokácií, vybavovanie povolení, koordináciu komparzu a hercov.</w:t>
      </w:r>
    </w:p>
    <w:bookmarkEnd w:id="4"/>
    <w:bookmarkEnd w:id="8"/>
    <w:p w14:paraId="06BAC316" w14:textId="2CBECF72" w:rsidR="005061E5" w:rsidRPr="00BE7EC2" w:rsidRDefault="001D7AE3" w:rsidP="00D33E68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>K podmienke účasti podľa § 34 ods. 1 písm. l) ZVO uchádzač uviedol, že</w:t>
      </w:r>
      <w:r w:rsidR="00384326" w:rsidRPr="00BE7EC2">
        <w:rPr>
          <w:bCs/>
        </w:rPr>
        <w:t>:</w:t>
      </w:r>
    </w:p>
    <w:p w14:paraId="25E724CB" w14:textId="1E2F54E7" w:rsidR="00C1627C" w:rsidRPr="00BE7EC2" w:rsidRDefault="00C1627C" w:rsidP="00C1627C">
      <w:pPr>
        <w:pStyle w:val="Zkladntext"/>
        <w:numPr>
          <w:ilvl w:val="0"/>
          <w:numId w:val="12"/>
        </w:numPr>
        <w:spacing w:before="101"/>
        <w:ind w:right="233"/>
        <w:jc w:val="both"/>
        <w:rPr>
          <w:bCs/>
        </w:rPr>
      </w:pPr>
      <w:bookmarkStart w:id="9" w:name="_Hlk169074256"/>
      <w:r w:rsidRPr="00BE7EC2">
        <w:rPr>
          <w:bCs/>
        </w:rPr>
        <w:t xml:space="preserve">catering zabezpečí prostredníctvom spoločnosti SHARKAM B&amp;B CATERING s.r.o., </w:t>
      </w:r>
      <w:proofErr w:type="spellStart"/>
      <w:r w:rsidRPr="00BE7EC2">
        <w:rPr>
          <w:bCs/>
        </w:rPr>
        <w:t>Krokusová</w:t>
      </w:r>
      <w:proofErr w:type="spellEnd"/>
      <w:r w:rsidRPr="00BE7EC2">
        <w:rPr>
          <w:bCs/>
        </w:rPr>
        <w:t xml:space="preserve"> 20243/3, 821 07 Bratislava</w:t>
      </w:r>
      <w:r w:rsidR="001321A3">
        <w:rPr>
          <w:bCs/>
        </w:rPr>
        <w:t>,</w:t>
      </w:r>
      <w:r w:rsidRPr="00BE7EC2">
        <w:rPr>
          <w:bCs/>
        </w:rPr>
        <w:t xml:space="preserve"> </w:t>
      </w:r>
    </w:p>
    <w:p w14:paraId="4BC6DB08" w14:textId="3480250C" w:rsidR="003A250D" w:rsidRPr="00BE7EC2" w:rsidRDefault="003A250D" w:rsidP="00C1627C">
      <w:pPr>
        <w:pStyle w:val="Zkladntext"/>
        <w:numPr>
          <w:ilvl w:val="0"/>
          <w:numId w:val="12"/>
        </w:numPr>
        <w:spacing w:before="101"/>
        <w:ind w:right="233"/>
        <w:jc w:val="both"/>
        <w:rPr>
          <w:bCs/>
        </w:rPr>
      </w:pPr>
      <w:r w:rsidRPr="00BE7EC2">
        <w:rPr>
          <w:bCs/>
        </w:rPr>
        <w:t>ozvučovaciu a osvetľovaciu techniku</w:t>
      </w:r>
      <w:r w:rsidR="0020433F" w:rsidRPr="00BE7EC2">
        <w:rPr>
          <w:bCs/>
        </w:rPr>
        <w:t xml:space="preserve"> zabezpečí</w:t>
      </w:r>
      <w:r w:rsidR="00384326" w:rsidRPr="00BE7EC2">
        <w:rPr>
          <w:bCs/>
        </w:rPr>
        <w:t xml:space="preserve"> prostredníctvom spoločnosti </w:t>
      </w:r>
      <w:proofErr w:type="spellStart"/>
      <w:r w:rsidR="00384326" w:rsidRPr="00BE7EC2">
        <w:rPr>
          <w:bCs/>
        </w:rPr>
        <w:t>TLpro</w:t>
      </w:r>
      <w:proofErr w:type="spellEnd"/>
      <w:r w:rsidR="00384326" w:rsidRPr="00BE7EC2">
        <w:rPr>
          <w:bCs/>
        </w:rPr>
        <w:t xml:space="preserve"> s.r.o, Janka Kráľa 43, 936 26 Starý Tekov a Martin </w:t>
      </w:r>
      <w:proofErr w:type="spellStart"/>
      <w:r w:rsidR="00384326" w:rsidRPr="00BE7EC2">
        <w:rPr>
          <w:bCs/>
        </w:rPr>
        <w:t>Kupčo</w:t>
      </w:r>
      <w:proofErr w:type="spellEnd"/>
      <w:r w:rsidR="00384326" w:rsidRPr="00BE7EC2">
        <w:rPr>
          <w:bCs/>
        </w:rPr>
        <w:t xml:space="preserve"> – SWOHSERVICE, </w:t>
      </w:r>
      <w:proofErr w:type="spellStart"/>
      <w:r w:rsidR="00384326" w:rsidRPr="00BE7EC2">
        <w:rPr>
          <w:bCs/>
        </w:rPr>
        <w:t>Krmanova</w:t>
      </w:r>
      <w:proofErr w:type="spellEnd"/>
      <w:r w:rsidR="00384326" w:rsidRPr="00BE7EC2">
        <w:rPr>
          <w:bCs/>
        </w:rPr>
        <w:t xml:space="preserve"> 1812/5, 811 03 Bratislava</w:t>
      </w:r>
      <w:r w:rsidR="001321A3">
        <w:rPr>
          <w:bCs/>
        </w:rPr>
        <w:t>,</w:t>
      </w:r>
    </w:p>
    <w:p w14:paraId="346FAA90" w14:textId="134C3610" w:rsidR="001D7AE3" w:rsidRPr="00BE7EC2" w:rsidRDefault="003A250D" w:rsidP="00C1627C">
      <w:pPr>
        <w:pStyle w:val="Zkladntext"/>
        <w:numPr>
          <w:ilvl w:val="0"/>
          <w:numId w:val="12"/>
        </w:numPr>
        <w:spacing w:before="101"/>
        <w:ind w:right="233"/>
        <w:jc w:val="both"/>
        <w:rPr>
          <w:bCs/>
        </w:rPr>
      </w:pPr>
      <w:bookmarkStart w:id="10" w:name="_Hlk169074639"/>
      <w:r w:rsidRPr="00BE7EC2">
        <w:rPr>
          <w:bCs/>
        </w:rPr>
        <w:t xml:space="preserve">nábytky zabezpečí prostredníctvom spoločnosti </w:t>
      </w:r>
      <w:proofErr w:type="spellStart"/>
      <w:r w:rsidRPr="00BE7EC2">
        <w:rPr>
          <w:bCs/>
        </w:rPr>
        <w:t>mima</w:t>
      </w:r>
      <w:proofErr w:type="spellEnd"/>
      <w:r w:rsidRPr="00BE7EC2">
        <w:rPr>
          <w:bCs/>
        </w:rPr>
        <w:t xml:space="preserve"> </w:t>
      </w:r>
      <w:proofErr w:type="spellStart"/>
      <w:r w:rsidRPr="00BE7EC2">
        <w:rPr>
          <w:bCs/>
        </w:rPr>
        <w:t>production</w:t>
      </w:r>
      <w:proofErr w:type="spellEnd"/>
      <w:r w:rsidRPr="00BE7EC2">
        <w:rPr>
          <w:bCs/>
        </w:rPr>
        <w:t xml:space="preserve">, s.r.o., </w:t>
      </w:r>
      <w:proofErr w:type="spellStart"/>
      <w:r w:rsidRPr="00BE7EC2">
        <w:rPr>
          <w:bCs/>
        </w:rPr>
        <w:t>Martničekova</w:t>
      </w:r>
      <w:proofErr w:type="spellEnd"/>
      <w:r w:rsidRPr="00BE7EC2">
        <w:rPr>
          <w:bCs/>
        </w:rPr>
        <w:t>, 821 09 Bratislava</w:t>
      </w:r>
      <w:bookmarkEnd w:id="9"/>
      <w:bookmarkEnd w:id="10"/>
      <w:r w:rsidR="001321A3">
        <w:rPr>
          <w:bCs/>
        </w:rPr>
        <w:t>.</w:t>
      </w:r>
      <w:r w:rsidR="00C1627C" w:rsidRPr="00BE7EC2">
        <w:rPr>
          <w:bCs/>
        </w:rPr>
        <w:tab/>
      </w:r>
    </w:p>
    <w:p w14:paraId="366D70FA" w14:textId="1F93F19A" w:rsidR="00350968" w:rsidRPr="00BE7EC2" w:rsidRDefault="00D047C6" w:rsidP="00350968">
      <w:pPr>
        <w:pStyle w:val="Zkladntext"/>
        <w:spacing w:before="101"/>
        <w:ind w:left="284" w:right="233"/>
        <w:jc w:val="both"/>
        <w:rPr>
          <w:bCs/>
        </w:rPr>
      </w:pPr>
      <w:r w:rsidRPr="00BE7EC2">
        <w:rPr>
          <w:bCs/>
        </w:rPr>
        <w:t>Komisia po posúdení predložených dokladov uviedla, že uchádzač splnil všetky podmienky účasti. Zárov</w:t>
      </w:r>
      <w:r w:rsidR="005B74FD" w:rsidRPr="00BE7EC2">
        <w:rPr>
          <w:bCs/>
        </w:rPr>
        <w:t>eň komisia neidentifikovala ani naplnenie niektorého z dôvodov na vylúčenie podľa § 40 ods. 6 až 8 ZVO.</w:t>
      </w:r>
    </w:p>
    <w:p w14:paraId="52ACB88E" w14:textId="21FCF781" w:rsidR="00DA4348" w:rsidRPr="00BE7EC2" w:rsidRDefault="00DA4348" w:rsidP="00350968">
      <w:pPr>
        <w:pStyle w:val="Zkladntext"/>
        <w:spacing w:before="101"/>
        <w:ind w:left="284" w:right="233"/>
        <w:jc w:val="both"/>
        <w:rPr>
          <w:bCs/>
        </w:rPr>
      </w:pPr>
      <w:r w:rsidRPr="00BE7EC2">
        <w:rPr>
          <w:bCs/>
        </w:rPr>
        <w:t xml:space="preserve">Na záver hodnotenia komisia uvádza, že </w:t>
      </w:r>
      <w:r w:rsidRPr="00BE7EC2">
        <w:rPr>
          <w:b/>
        </w:rPr>
        <w:t>žiadna z predložených pon</w:t>
      </w:r>
      <w:r w:rsidR="001321A3">
        <w:rPr>
          <w:b/>
        </w:rPr>
        <w:t>ú</w:t>
      </w:r>
      <w:r w:rsidRPr="00BE7EC2">
        <w:rPr>
          <w:b/>
        </w:rPr>
        <w:t>k nebola vylúčená</w:t>
      </w:r>
      <w:r w:rsidRPr="00BE7EC2">
        <w:rPr>
          <w:bCs/>
        </w:rPr>
        <w:t xml:space="preserve"> (a to vzhľadom aj na reverzný charakter verejnej súťaže). Z tohto dôvodu </w:t>
      </w:r>
      <w:r w:rsidRPr="00BE7EC2">
        <w:rPr>
          <w:b/>
        </w:rPr>
        <w:t xml:space="preserve">nie je relevantné uvádzať </w:t>
      </w:r>
      <w:r w:rsidRPr="00BE7EC2">
        <w:rPr>
          <w:b/>
        </w:rPr>
        <w:lastRenderedPageBreak/>
        <w:t>zoznam vylúčených uchádzačov</w:t>
      </w:r>
      <w:r w:rsidRPr="00BE7EC2">
        <w:rPr>
          <w:bCs/>
        </w:rPr>
        <w:t xml:space="preserve"> a </w:t>
      </w:r>
      <w:r w:rsidRPr="00BE7EC2">
        <w:rPr>
          <w:b/>
        </w:rPr>
        <w:t>dôvody vylúčenia mimoriadne nízkych ponúk</w:t>
      </w:r>
      <w:r w:rsidRPr="00BE7EC2">
        <w:rPr>
          <w:bCs/>
        </w:rPr>
        <w:t>.</w:t>
      </w:r>
    </w:p>
    <w:p w14:paraId="3D7E9507" w14:textId="77777777" w:rsidR="00DA4348" w:rsidRPr="00BE7EC2" w:rsidRDefault="00DA4348" w:rsidP="00350968">
      <w:pPr>
        <w:pStyle w:val="Zkladntext"/>
        <w:spacing w:before="101"/>
        <w:ind w:left="284" w:right="233"/>
        <w:jc w:val="both"/>
        <w:rPr>
          <w:bCs/>
        </w:rPr>
      </w:pPr>
    </w:p>
    <w:p w14:paraId="4E27E5AF" w14:textId="59F59DA2" w:rsidR="008F1E85" w:rsidRPr="00BE7EC2" w:rsidRDefault="00DA4348" w:rsidP="008F1E85">
      <w:pPr>
        <w:keepNext/>
        <w:widowControl/>
        <w:numPr>
          <w:ilvl w:val="0"/>
          <w:numId w:val="2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E7EC2">
        <w:rPr>
          <w:rFonts w:eastAsia="Times New Roman" w:cs="Arial"/>
          <w:b/>
          <w:bCs/>
          <w:sz w:val="24"/>
          <w:szCs w:val="24"/>
        </w:rPr>
        <w:t>Z</w:t>
      </w:r>
      <w:r w:rsidR="008F1E85" w:rsidRPr="00BE7EC2">
        <w:rPr>
          <w:rFonts w:eastAsia="Times New Roman" w:cs="Arial"/>
          <w:b/>
          <w:bCs/>
          <w:sz w:val="24"/>
          <w:szCs w:val="24"/>
        </w:rPr>
        <w:t>áver</w:t>
      </w:r>
    </w:p>
    <w:p w14:paraId="02C4EABC" w14:textId="4B714700" w:rsidR="005B74FD" w:rsidRPr="00BE7EC2" w:rsidRDefault="005B74FD" w:rsidP="005B74FD">
      <w:pPr>
        <w:pStyle w:val="Zkladntext"/>
        <w:spacing w:before="101"/>
        <w:ind w:right="233"/>
        <w:jc w:val="both"/>
        <w:rPr>
          <w:bCs/>
        </w:rPr>
      </w:pPr>
      <w:r w:rsidRPr="00BE7EC2">
        <w:rPr>
          <w:bCs/>
        </w:rPr>
        <w:t xml:space="preserve">Komisia za </w:t>
      </w:r>
      <w:r w:rsidRPr="00BE7EC2">
        <w:rPr>
          <w:b/>
        </w:rPr>
        <w:t>úspešného uchádzača označila LEOPARD PRODUCTION s.r.o.,</w:t>
      </w:r>
      <w:r w:rsidRPr="00BE7EC2">
        <w:rPr>
          <w:bCs/>
        </w:rPr>
        <w:t xml:space="preserve"> </w:t>
      </w:r>
      <w:proofErr w:type="spellStart"/>
      <w:r w:rsidRPr="00BE7EC2">
        <w:rPr>
          <w:bCs/>
        </w:rPr>
        <w:t>Sreznevského</w:t>
      </w:r>
      <w:proofErr w:type="spellEnd"/>
      <w:r w:rsidRPr="00BE7EC2">
        <w:rPr>
          <w:bCs/>
        </w:rPr>
        <w:t xml:space="preserve"> 3, 831 03 Bratislava, IČO: 44 387 B407 a odporučila s ním uzavrieť zmluvu. </w:t>
      </w:r>
      <w:r w:rsidR="00350968" w:rsidRPr="00BE7EC2">
        <w:rPr>
          <w:bCs/>
        </w:rPr>
        <w:t>Na základe vyššie uvedeného vyhodnotenia budú vyhotovené oznámenie a informácia o výsledku v zmysle § 55 ZVO a zaslané uchádza</w:t>
      </w:r>
      <w:r w:rsidR="001321A3">
        <w:rPr>
          <w:bCs/>
        </w:rPr>
        <w:t>čom</w:t>
      </w:r>
      <w:r w:rsidR="00350968" w:rsidRPr="00BE7EC2">
        <w:rPr>
          <w:bCs/>
        </w:rPr>
        <w:t xml:space="preserve"> a publikované podľa predmetného zákonného ustanovenia. </w:t>
      </w:r>
    </w:p>
    <w:p w14:paraId="51113593" w14:textId="77777777" w:rsidR="008F1E85" w:rsidRPr="00BE7EC2" w:rsidRDefault="008F1E85" w:rsidP="00901245">
      <w:pPr>
        <w:widowControl/>
        <w:autoSpaceDE/>
        <w:autoSpaceDN/>
        <w:spacing w:before="120" w:after="120"/>
        <w:jc w:val="both"/>
        <w:rPr>
          <w:rFonts w:eastAsia="Times New Roman" w:cs="Times New Roman"/>
          <w:bCs/>
        </w:rPr>
      </w:pPr>
      <w:r w:rsidRPr="00BE7EC2">
        <w:rPr>
          <w:rFonts w:eastAsia="Times New Roman" w:cs="Times New Roman"/>
          <w:bCs/>
        </w:rPr>
        <w:t>Žiaden z prítomných členov komisie nevzniesol námietku voči priebehu zasadania komisie.</w:t>
      </w:r>
    </w:p>
    <w:p w14:paraId="1C41258A" w14:textId="77777777" w:rsidR="008F1E85" w:rsidRPr="00BE7EC2" w:rsidRDefault="008F1E85" w:rsidP="00901245">
      <w:pPr>
        <w:widowControl/>
        <w:autoSpaceDE/>
        <w:autoSpaceDN/>
        <w:spacing w:before="120" w:after="120"/>
        <w:jc w:val="both"/>
        <w:rPr>
          <w:rFonts w:eastAsia="Times New Roman" w:cs="Times New Roman"/>
          <w:bCs/>
        </w:rPr>
      </w:pPr>
      <w:r w:rsidRPr="00BE7EC2">
        <w:rPr>
          <w:rFonts w:eastAsia="Times New Roman" w:cs="Times New Roman"/>
          <w:bCs/>
        </w:rPr>
        <w:t xml:space="preserve">Prítomní členovia komisie vyhlasujú, že táto zápisnica zodpovedá skutočnosti. </w:t>
      </w:r>
    </w:p>
    <w:p w14:paraId="0A49F082" w14:textId="77777777" w:rsidR="008F1E85" w:rsidRPr="00BE7EC2" w:rsidRDefault="008F1E85" w:rsidP="008F1E85">
      <w:pPr>
        <w:pStyle w:val="Zkladntext"/>
        <w:spacing w:before="101"/>
        <w:ind w:left="142" w:right="233"/>
        <w:jc w:val="both"/>
      </w:pPr>
    </w:p>
    <w:p w14:paraId="244CEC6B" w14:textId="77777777" w:rsidR="00124D70" w:rsidRPr="00BE7EC2" w:rsidRDefault="00124D70" w:rsidP="00124D70">
      <w:pPr>
        <w:spacing w:after="120"/>
        <w:jc w:val="both"/>
        <w:rPr>
          <w:rFonts w:cs="Arial"/>
          <w:b/>
        </w:rPr>
      </w:pPr>
      <w:r w:rsidRPr="00BE7EC2">
        <w:rPr>
          <w:rFonts w:cs="Arial"/>
          <w:b/>
        </w:rPr>
        <w:t>Prítomní členovia komisie:</w:t>
      </w:r>
    </w:p>
    <w:p w14:paraId="36168B3B" w14:textId="77777777" w:rsidR="00124D70" w:rsidRPr="00BE7EC2" w:rsidRDefault="00124D70" w:rsidP="00124D70">
      <w:pPr>
        <w:spacing w:after="120"/>
        <w:jc w:val="both"/>
        <w:rPr>
          <w:rFonts w:cs="Arial"/>
          <w:bCs/>
        </w:rPr>
      </w:pPr>
      <w:r w:rsidRPr="00BE7EC2">
        <w:rPr>
          <w:rFonts w:cs="Arial"/>
          <w:bCs/>
        </w:rPr>
        <w:t>S právom vyhodnocovať ponuky</w:t>
      </w:r>
    </w:p>
    <w:p w14:paraId="19E81F6B" w14:textId="77777777" w:rsidR="00124D70" w:rsidRPr="00BE7EC2" w:rsidRDefault="00124D70" w:rsidP="007735D4">
      <w:pPr>
        <w:pStyle w:val="Odsekzoznamu"/>
        <w:numPr>
          <w:ilvl w:val="0"/>
          <w:numId w:val="9"/>
        </w:numPr>
        <w:spacing w:after="120"/>
        <w:ind w:left="567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 xml:space="preserve">Eva Gonçalves </w:t>
      </w:r>
    </w:p>
    <w:p w14:paraId="7909FC32" w14:textId="77777777" w:rsidR="00124D70" w:rsidRPr="00BE7EC2" w:rsidRDefault="00124D70" w:rsidP="007735D4">
      <w:pPr>
        <w:pStyle w:val="Odsekzoznamu"/>
        <w:numPr>
          <w:ilvl w:val="0"/>
          <w:numId w:val="9"/>
        </w:numPr>
        <w:spacing w:after="120"/>
        <w:ind w:left="567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 xml:space="preserve">Jana Langerová </w:t>
      </w:r>
    </w:p>
    <w:p w14:paraId="0F1D1070" w14:textId="77777777" w:rsidR="00124D70" w:rsidRPr="00BE7EC2" w:rsidRDefault="00124D70" w:rsidP="007735D4">
      <w:pPr>
        <w:pStyle w:val="Odsekzoznamu"/>
        <w:numPr>
          <w:ilvl w:val="0"/>
          <w:numId w:val="9"/>
        </w:numPr>
        <w:spacing w:after="120"/>
        <w:ind w:left="567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>Tomáš Lepieš</w:t>
      </w:r>
    </w:p>
    <w:p w14:paraId="690C5F58" w14:textId="77777777" w:rsidR="00124D70" w:rsidRPr="00BE7EC2" w:rsidRDefault="00124D70" w:rsidP="007735D4">
      <w:pPr>
        <w:pStyle w:val="Odsekzoznamu"/>
        <w:numPr>
          <w:ilvl w:val="0"/>
          <w:numId w:val="9"/>
        </w:numPr>
        <w:spacing w:after="120"/>
        <w:ind w:left="567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>Martin Lipovský</w:t>
      </w:r>
    </w:p>
    <w:p w14:paraId="1AB297D3" w14:textId="77777777" w:rsidR="00124D70" w:rsidRPr="00BE7EC2" w:rsidRDefault="00124D70" w:rsidP="007735D4">
      <w:pPr>
        <w:pStyle w:val="Odsekzoznamu"/>
        <w:numPr>
          <w:ilvl w:val="0"/>
          <w:numId w:val="9"/>
        </w:numPr>
        <w:spacing w:after="120"/>
        <w:ind w:left="567"/>
        <w:jc w:val="both"/>
        <w:rPr>
          <w:rFonts w:ascii="Cambria" w:hAnsi="Cambria" w:cs="Arial"/>
          <w:bCs/>
          <w:sz w:val="22"/>
          <w:szCs w:val="22"/>
        </w:rPr>
      </w:pPr>
      <w:r w:rsidRPr="00BE7EC2">
        <w:rPr>
          <w:rFonts w:ascii="Cambria" w:hAnsi="Cambria" w:cs="Arial"/>
          <w:bCs/>
          <w:sz w:val="22"/>
          <w:szCs w:val="22"/>
        </w:rPr>
        <w:t>Ján Onda</w:t>
      </w:r>
    </w:p>
    <w:p w14:paraId="50773FDC" w14:textId="77777777" w:rsidR="00124D70" w:rsidRPr="00BE7EC2" w:rsidRDefault="00124D70" w:rsidP="007735D4">
      <w:pPr>
        <w:spacing w:after="120"/>
        <w:ind w:left="567" w:hanging="360"/>
        <w:jc w:val="both"/>
        <w:rPr>
          <w:rFonts w:cs="Arial"/>
          <w:b/>
        </w:rPr>
      </w:pPr>
      <w:r w:rsidRPr="00BE7EC2">
        <w:rPr>
          <w:rFonts w:cs="Arial"/>
          <w:bCs/>
        </w:rPr>
        <w:t>Bez</w:t>
      </w:r>
      <w:r w:rsidRPr="00BE7EC2">
        <w:rPr>
          <w:rFonts w:cs="Arial"/>
          <w:b/>
        </w:rPr>
        <w:t xml:space="preserve"> </w:t>
      </w:r>
      <w:r w:rsidRPr="00BE7EC2">
        <w:rPr>
          <w:rFonts w:cs="Arial"/>
          <w:bCs/>
        </w:rPr>
        <w:t>práva vyhodnocovať</w:t>
      </w:r>
      <w:r w:rsidRPr="00BE7EC2">
        <w:rPr>
          <w:rFonts w:cs="Arial"/>
          <w:b/>
        </w:rPr>
        <w:t>:</w:t>
      </w:r>
    </w:p>
    <w:p w14:paraId="7A7B427C" w14:textId="420B9AFB" w:rsidR="008F1E85" w:rsidRDefault="007735D4" w:rsidP="007735D4">
      <w:pPr>
        <w:pStyle w:val="Nadpis2"/>
        <w:numPr>
          <w:ilvl w:val="0"/>
          <w:numId w:val="15"/>
        </w:numPr>
        <w:rPr>
          <w:b w:val="0"/>
          <w:bCs w:val="0"/>
        </w:rPr>
      </w:pPr>
      <w:r>
        <w:rPr>
          <w:b w:val="0"/>
          <w:bCs w:val="0"/>
        </w:rPr>
        <w:t>Lucia Gašparová</w:t>
      </w:r>
    </w:p>
    <w:p w14:paraId="4D61CB43" w14:textId="30707C98" w:rsidR="007735D4" w:rsidRPr="00BE7EC2" w:rsidRDefault="007735D4" w:rsidP="007735D4">
      <w:pPr>
        <w:pStyle w:val="Nadpis2"/>
        <w:numPr>
          <w:ilvl w:val="0"/>
          <w:numId w:val="15"/>
        </w:numPr>
        <w:rPr>
          <w:b w:val="0"/>
          <w:bCs w:val="0"/>
        </w:rPr>
      </w:pPr>
      <w:r>
        <w:rPr>
          <w:b w:val="0"/>
          <w:bCs w:val="0"/>
        </w:rPr>
        <w:t>Ivan Holič</w:t>
      </w:r>
    </w:p>
    <w:p w14:paraId="5884ACF7" w14:textId="77777777" w:rsidR="007735D4" w:rsidRDefault="007735D4" w:rsidP="007735D4">
      <w:pPr>
        <w:pStyle w:val="Nadpis2"/>
        <w:ind w:left="0"/>
        <w:rPr>
          <w:b w:val="0"/>
          <w:bCs w:val="0"/>
        </w:rPr>
      </w:pPr>
    </w:p>
    <w:p w14:paraId="65B2758C" w14:textId="6668AB68" w:rsidR="008F1E85" w:rsidRPr="007735D4" w:rsidRDefault="007735D4" w:rsidP="007735D4">
      <w:pPr>
        <w:pStyle w:val="Nadpis2"/>
        <w:ind w:left="0"/>
      </w:pPr>
      <w:r w:rsidRPr="007735D4">
        <w:t>Tajomník komisie</w:t>
      </w:r>
    </w:p>
    <w:p w14:paraId="7282FD6C" w14:textId="46A60740" w:rsidR="007735D4" w:rsidRPr="007735D4" w:rsidRDefault="007735D4" w:rsidP="007735D4">
      <w:pPr>
        <w:pStyle w:val="Nadpis2"/>
        <w:ind w:left="426"/>
        <w:rPr>
          <w:b w:val="0"/>
          <w:bCs w:val="0"/>
        </w:rPr>
      </w:pPr>
      <w:r>
        <w:rPr>
          <w:b w:val="0"/>
          <w:bCs w:val="0"/>
        </w:rPr>
        <w:t xml:space="preserve">Adrián Zvara </w:t>
      </w:r>
    </w:p>
    <w:p w14:paraId="0F148929" w14:textId="77777777" w:rsidR="00E13656" w:rsidRPr="00BE7EC2" w:rsidRDefault="00E13656"/>
    <w:sectPr w:rsidR="00E13656" w:rsidRPr="00BE7EC2" w:rsidSect="008F1E85">
      <w:footerReference w:type="default" r:id="rId9"/>
      <w:pgSz w:w="11910" w:h="16840"/>
      <w:pgMar w:top="1320" w:right="1180" w:bottom="960" w:left="1240" w:header="0" w:footer="7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EFE6D" w14:textId="77777777" w:rsidR="001560B0" w:rsidRDefault="001560B0">
      <w:r>
        <w:separator/>
      </w:r>
    </w:p>
  </w:endnote>
  <w:endnote w:type="continuationSeparator" w:id="0">
    <w:p w14:paraId="46265CB6" w14:textId="77777777" w:rsidR="001560B0" w:rsidRDefault="0015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E59" w14:textId="77777777" w:rsidR="005230CA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C9FD09" wp14:editId="74FCF704">
              <wp:simplePos x="0" y="0"/>
              <wp:positionH relativeFrom="page">
                <wp:posOffset>3714750</wp:posOffset>
              </wp:positionH>
              <wp:positionV relativeFrom="page">
                <wp:posOffset>10060305</wp:posOffset>
              </wp:positionV>
              <wp:extent cx="146685" cy="1955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4924C" w14:textId="77777777" w:rsidR="005230CA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9FD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5pt;margin-top:792.15pt;width:11.55pt;height: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" filled="f" stroked="f">
              <v:textbox inset="0,0,0,0">
                <w:txbxContent>
                  <w:p w14:paraId="7914924C" w14:textId="77777777" w:rsidR="005230CA" w:rsidRDefault="00000000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93886" w14:textId="77777777" w:rsidR="001560B0" w:rsidRDefault="001560B0">
      <w:r>
        <w:separator/>
      </w:r>
    </w:p>
  </w:footnote>
  <w:footnote w:type="continuationSeparator" w:id="0">
    <w:p w14:paraId="249044B2" w14:textId="77777777" w:rsidR="001560B0" w:rsidRDefault="0015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073E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DC30FE"/>
    <w:multiLevelType w:val="hybridMultilevel"/>
    <w:tmpl w:val="9E26A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54AF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B70E0C"/>
    <w:multiLevelType w:val="hybridMultilevel"/>
    <w:tmpl w:val="F3BC2ECC"/>
    <w:lvl w:ilvl="0" w:tplc="A5009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4389"/>
    <w:multiLevelType w:val="hybridMultilevel"/>
    <w:tmpl w:val="07A46EA2"/>
    <w:lvl w:ilvl="0" w:tplc="9A0E93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531B22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9C17C4"/>
    <w:multiLevelType w:val="hybridMultilevel"/>
    <w:tmpl w:val="694E4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F23A0"/>
    <w:multiLevelType w:val="hybridMultilevel"/>
    <w:tmpl w:val="1F3A634C"/>
    <w:lvl w:ilvl="0" w:tplc="33B6134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4047D61"/>
    <w:multiLevelType w:val="hybridMultilevel"/>
    <w:tmpl w:val="D6B22166"/>
    <w:lvl w:ilvl="0" w:tplc="57221C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B92B7A"/>
    <w:multiLevelType w:val="hybridMultilevel"/>
    <w:tmpl w:val="BB8A2C62"/>
    <w:lvl w:ilvl="0" w:tplc="1674E110">
      <w:start w:val="12"/>
      <w:numFmt w:val="bullet"/>
      <w:lvlText w:val="-"/>
      <w:lvlJc w:val="left"/>
      <w:pPr>
        <w:ind w:left="644" w:hanging="360"/>
      </w:pPr>
      <w:rPr>
        <w:rFonts w:ascii="Cambria" w:eastAsia="Cambria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4A52B9"/>
    <w:multiLevelType w:val="hybridMultilevel"/>
    <w:tmpl w:val="F474B094"/>
    <w:lvl w:ilvl="0" w:tplc="653E7B98">
      <w:start w:val="6"/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C883BA1"/>
    <w:multiLevelType w:val="hybridMultilevel"/>
    <w:tmpl w:val="745698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961A3"/>
    <w:multiLevelType w:val="hybridMultilevel"/>
    <w:tmpl w:val="46905126"/>
    <w:lvl w:ilvl="0" w:tplc="97426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226DDB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7A53593"/>
    <w:multiLevelType w:val="hybridMultilevel"/>
    <w:tmpl w:val="8DA46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A3D92"/>
    <w:multiLevelType w:val="hybridMultilevel"/>
    <w:tmpl w:val="9DFC65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5465">
    <w:abstractNumId w:val="1"/>
  </w:num>
  <w:num w:numId="2" w16cid:durableId="564607555">
    <w:abstractNumId w:val="7"/>
  </w:num>
  <w:num w:numId="3" w16cid:durableId="635455870">
    <w:abstractNumId w:val="10"/>
  </w:num>
  <w:num w:numId="4" w16cid:durableId="118231406">
    <w:abstractNumId w:val="4"/>
  </w:num>
  <w:num w:numId="5" w16cid:durableId="48917571">
    <w:abstractNumId w:val="0"/>
  </w:num>
  <w:num w:numId="6" w16cid:durableId="1082340063">
    <w:abstractNumId w:val="13"/>
  </w:num>
  <w:num w:numId="7" w16cid:durableId="1959873547">
    <w:abstractNumId w:val="2"/>
  </w:num>
  <w:num w:numId="8" w16cid:durableId="559831766">
    <w:abstractNumId w:val="5"/>
  </w:num>
  <w:num w:numId="9" w16cid:durableId="2146313760">
    <w:abstractNumId w:val="14"/>
  </w:num>
  <w:num w:numId="10" w16cid:durableId="2005547663">
    <w:abstractNumId w:val="6"/>
  </w:num>
  <w:num w:numId="11" w16cid:durableId="1688865760">
    <w:abstractNumId w:val="11"/>
  </w:num>
  <w:num w:numId="12" w16cid:durableId="1667897829">
    <w:abstractNumId w:val="9"/>
  </w:num>
  <w:num w:numId="13" w16cid:durableId="1566643007">
    <w:abstractNumId w:val="3"/>
  </w:num>
  <w:num w:numId="14" w16cid:durableId="2081711135">
    <w:abstractNumId w:val="12"/>
  </w:num>
  <w:num w:numId="15" w16cid:durableId="253562898">
    <w:abstractNumId w:val="8"/>
  </w:num>
  <w:num w:numId="16" w16cid:durableId="3322238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5"/>
    <w:rsid w:val="00002BFF"/>
    <w:rsid w:val="00034EA8"/>
    <w:rsid w:val="000D3501"/>
    <w:rsid w:val="000F7CDE"/>
    <w:rsid w:val="00124D70"/>
    <w:rsid w:val="001321A3"/>
    <w:rsid w:val="00146224"/>
    <w:rsid w:val="001553FC"/>
    <w:rsid w:val="001560B0"/>
    <w:rsid w:val="001A21BD"/>
    <w:rsid w:val="001C4D66"/>
    <w:rsid w:val="001D7AE3"/>
    <w:rsid w:val="00201523"/>
    <w:rsid w:val="0020433F"/>
    <w:rsid w:val="0020440D"/>
    <w:rsid w:val="002161D3"/>
    <w:rsid w:val="00286981"/>
    <w:rsid w:val="00296E62"/>
    <w:rsid w:val="002B2068"/>
    <w:rsid w:val="00350968"/>
    <w:rsid w:val="00384326"/>
    <w:rsid w:val="0038634E"/>
    <w:rsid w:val="003A250D"/>
    <w:rsid w:val="003E13EF"/>
    <w:rsid w:val="004321F6"/>
    <w:rsid w:val="004334D2"/>
    <w:rsid w:val="004B43F7"/>
    <w:rsid w:val="004F12E1"/>
    <w:rsid w:val="004F785C"/>
    <w:rsid w:val="005061E5"/>
    <w:rsid w:val="005230CA"/>
    <w:rsid w:val="00532955"/>
    <w:rsid w:val="005A3213"/>
    <w:rsid w:val="005A624C"/>
    <w:rsid w:val="005B74FD"/>
    <w:rsid w:val="00604901"/>
    <w:rsid w:val="00634CE8"/>
    <w:rsid w:val="00643EBB"/>
    <w:rsid w:val="00690A91"/>
    <w:rsid w:val="006F1898"/>
    <w:rsid w:val="006F7970"/>
    <w:rsid w:val="007735D4"/>
    <w:rsid w:val="007D3C41"/>
    <w:rsid w:val="008864BA"/>
    <w:rsid w:val="008906C0"/>
    <w:rsid w:val="008A09CC"/>
    <w:rsid w:val="008F1E85"/>
    <w:rsid w:val="00901245"/>
    <w:rsid w:val="00911210"/>
    <w:rsid w:val="00924529"/>
    <w:rsid w:val="0099144C"/>
    <w:rsid w:val="009D131E"/>
    <w:rsid w:val="00A019CA"/>
    <w:rsid w:val="00A2655D"/>
    <w:rsid w:val="00A473B3"/>
    <w:rsid w:val="00A75E28"/>
    <w:rsid w:val="00AC54F2"/>
    <w:rsid w:val="00AF7299"/>
    <w:rsid w:val="00B1730E"/>
    <w:rsid w:val="00B21317"/>
    <w:rsid w:val="00B442F3"/>
    <w:rsid w:val="00B7051D"/>
    <w:rsid w:val="00BA64D5"/>
    <w:rsid w:val="00BC0FD4"/>
    <w:rsid w:val="00BE7EC2"/>
    <w:rsid w:val="00BF4E4B"/>
    <w:rsid w:val="00C1627C"/>
    <w:rsid w:val="00CB5EB7"/>
    <w:rsid w:val="00D047C6"/>
    <w:rsid w:val="00D2199D"/>
    <w:rsid w:val="00D33E68"/>
    <w:rsid w:val="00D60CE9"/>
    <w:rsid w:val="00DA4348"/>
    <w:rsid w:val="00DA7C95"/>
    <w:rsid w:val="00DE32FA"/>
    <w:rsid w:val="00E13656"/>
    <w:rsid w:val="00F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B74C"/>
  <w15:chartTrackingRefBased/>
  <w15:docId w15:val="{7AB54E9C-781A-4420-A879-A938525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1E8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sk-SK" w:bidi="sk-SK"/>
      <w14:ligatures w14:val="none"/>
    </w:rPr>
  </w:style>
  <w:style w:type="paragraph" w:styleId="Nadpis2">
    <w:name w:val="heading 2"/>
    <w:basedOn w:val="Normlny"/>
    <w:link w:val="Nadpis2Char"/>
    <w:uiPriority w:val="9"/>
    <w:unhideWhenUsed/>
    <w:qFormat/>
    <w:rsid w:val="008F1E85"/>
    <w:pPr>
      <w:ind w:left="20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63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F1E85"/>
    <w:rPr>
      <w:rFonts w:ascii="Cambria" w:eastAsia="Cambria" w:hAnsi="Cambria" w:cs="Cambria"/>
      <w:b/>
      <w:bCs/>
      <w:kern w:val="0"/>
      <w:lang w:eastAsia="sk-SK" w:bidi="sk-SK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F1E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F1E85"/>
  </w:style>
  <w:style w:type="character" w:customStyle="1" w:styleId="ZkladntextChar">
    <w:name w:val="Základný text Char"/>
    <w:basedOn w:val="Predvolenpsmoodseku"/>
    <w:link w:val="Zkladntext"/>
    <w:uiPriority w:val="1"/>
    <w:rsid w:val="008F1E85"/>
    <w:rPr>
      <w:rFonts w:ascii="Cambria" w:eastAsia="Cambria" w:hAnsi="Cambria" w:cs="Cambria"/>
      <w:kern w:val="0"/>
      <w:lang w:eastAsia="sk-SK" w:bidi="sk-SK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8F1E85"/>
    <w:pPr>
      <w:ind w:left="200"/>
    </w:pPr>
  </w:style>
  <w:style w:type="character" w:customStyle="1" w:styleId="ra">
    <w:name w:val="ra"/>
    <w:basedOn w:val="Predvolenpsmoodseku"/>
    <w:rsid w:val="008F1E85"/>
  </w:style>
  <w:style w:type="paragraph" w:styleId="Odsekzoznamu">
    <w:name w:val="List Paragraph"/>
    <w:basedOn w:val="Normlny"/>
    <w:uiPriority w:val="34"/>
    <w:qFormat/>
    <w:rsid w:val="00124D7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textovprepojenie">
    <w:name w:val="Hyperlink"/>
    <w:basedOn w:val="Predvolenpsmoodseku"/>
    <w:uiPriority w:val="99"/>
    <w:unhideWhenUsed/>
    <w:rsid w:val="0028698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981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634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 w:bidi="sk-SK"/>
      <w14:ligatures w14:val="none"/>
    </w:rPr>
  </w:style>
  <w:style w:type="paragraph" w:styleId="Revzia">
    <w:name w:val="Revision"/>
    <w:hidden/>
    <w:uiPriority w:val="99"/>
    <w:semiHidden/>
    <w:rsid w:val="00BE7EC2"/>
    <w:pPr>
      <w:spacing w:after="0" w:line="240" w:lineRule="auto"/>
    </w:pPr>
    <w:rPr>
      <w:rFonts w:ascii="Cambria" w:eastAsia="Cambria" w:hAnsi="Cambria" w:cs="Cambria"/>
      <w:kern w:val="0"/>
      <w:lang w:eastAsia="sk-SK" w:bidi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79D3-0FD5-44B4-A152-A1BBABC7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3281</Words>
  <Characters>18705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6</cp:revision>
  <dcterms:created xsi:type="dcterms:W3CDTF">2024-06-12T10:16:00Z</dcterms:created>
  <dcterms:modified xsi:type="dcterms:W3CDTF">2024-06-28T08:40:00Z</dcterms:modified>
</cp:coreProperties>
</file>