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236D" w14:textId="58925CDD" w:rsidR="00D30810" w:rsidRPr="00460927" w:rsidRDefault="00D30810">
      <w:pPr>
        <w:widowControl/>
        <w:autoSpaceDE/>
        <w:autoSpaceDN/>
        <w:spacing w:after="160" w:line="259" w:lineRule="auto"/>
      </w:pPr>
      <w:bookmarkStart w:id="0" w:name="_Hlk160175107"/>
    </w:p>
    <w:tbl>
      <w:tblPr>
        <w:tblStyle w:val="TableNormal"/>
        <w:tblpPr w:leftFromText="141" w:rightFromText="141" w:vertAnchor="page" w:horzAnchor="page" w:tblpX="939" w:tblpY="8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26"/>
        <w:gridCol w:w="2775"/>
      </w:tblGrid>
      <w:tr w:rsidR="00C7108A" w:rsidRPr="00C42138" w14:paraId="167A475C" w14:textId="77777777" w:rsidTr="00CA73FE">
        <w:trPr>
          <w:trHeight w:val="274"/>
        </w:trPr>
        <w:tc>
          <w:tcPr>
            <w:tcW w:w="10200" w:type="dxa"/>
            <w:gridSpan w:val="4"/>
            <w:shd w:val="clear" w:color="auto" w:fill="FFC000"/>
          </w:tcPr>
          <w:p w14:paraId="0C3CE06C" w14:textId="03F36EA4" w:rsidR="00C7108A" w:rsidRPr="00C7108A" w:rsidRDefault="00C7108A" w:rsidP="00D30810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C7108A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Príloha č. 1 </w:t>
            </w:r>
            <w:r w:rsidR="001A31BE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SP/Zmluvy</w:t>
            </w:r>
            <w:r w:rsidRPr="00C7108A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– Opis </w:t>
            </w:r>
            <w:r w:rsidR="00386C9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servisných </w:t>
            </w:r>
            <w:r w:rsidRPr="00C7108A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činnost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í</w:t>
            </w:r>
          </w:p>
        </w:tc>
      </w:tr>
      <w:tr w:rsidR="00C42138" w:rsidRPr="00C42138" w14:paraId="42E591B5" w14:textId="77777777" w:rsidTr="00C42138">
        <w:trPr>
          <w:trHeight w:val="1546"/>
        </w:trPr>
        <w:tc>
          <w:tcPr>
            <w:tcW w:w="562" w:type="dxa"/>
            <w:shd w:val="clear" w:color="auto" w:fill="FFC000"/>
          </w:tcPr>
          <w:p w14:paraId="5BD396E0" w14:textId="77777777" w:rsidR="00D30810" w:rsidRPr="00C7108A" w:rsidRDefault="00D30810" w:rsidP="00D30810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F4FFFD7" w14:textId="77777777" w:rsidR="00D30810" w:rsidRPr="00C7108A" w:rsidRDefault="00D30810" w:rsidP="00D30810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1B16CD99" w14:textId="77777777" w:rsidR="00D30810" w:rsidRPr="00C7108A" w:rsidRDefault="00D30810" w:rsidP="00D30810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4DA2F09" w14:textId="77777777" w:rsidR="00D30810" w:rsidRPr="003C106F" w:rsidRDefault="00D30810" w:rsidP="00D30810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D30810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D30810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C42138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C42138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D30810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D30810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D30810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C42138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D30810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D30810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D30810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C42138">
        <w:trPr>
          <w:trHeight w:val="844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D30810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D30810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C42138" w:rsidRPr="00C42138" w14:paraId="445CF379" w14:textId="77777777" w:rsidTr="00C42138">
        <w:trPr>
          <w:trHeight w:val="842"/>
        </w:trPr>
        <w:tc>
          <w:tcPr>
            <w:tcW w:w="562" w:type="dxa"/>
          </w:tcPr>
          <w:p w14:paraId="15BAD463" w14:textId="77777777" w:rsidR="00D30810" w:rsidRPr="003C106F" w:rsidRDefault="00D30810" w:rsidP="00D30810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D30810" w:rsidRPr="003C106F" w:rsidRDefault="00D30810" w:rsidP="00D30810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Vykonávanie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predpísaných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  <w:r w:rsidR="003C106F"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3C106F"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18606059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84E2492" w14:textId="77777777" w:rsidTr="00C42138">
        <w:trPr>
          <w:trHeight w:val="611"/>
        </w:trPr>
        <w:tc>
          <w:tcPr>
            <w:tcW w:w="562" w:type="dxa"/>
          </w:tcPr>
          <w:p w14:paraId="3CF54B30" w14:textId="77777777" w:rsidR="00D30810" w:rsidRPr="003C106F" w:rsidRDefault="00D30810" w:rsidP="00D30810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55B8EECD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32AE004C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25769E89" w14:textId="77777777" w:rsidTr="00C42138">
        <w:trPr>
          <w:trHeight w:val="609"/>
        </w:trPr>
        <w:tc>
          <w:tcPr>
            <w:tcW w:w="562" w:type="dxa"/>
          </w:tcPr>
          <w:p w14:paraId="48DDE163" w14:textId="77777777" w:rsidR="00D30810" w:rsidRPr="003C106F" w:rsidRDefault="00D30810" w:rsidP="00D30810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Služba telefonickej podpory s nepretržitou 24 hodinovou podporou</w:t>
            </w:r>
          </w:p>
        </w:tc>
        <w:tc>
          <w:tcPr>
            <w:tcW w:w="0" w:type="auto"/>
          </w:tcPr>
          <w:p w14:paraId="72874386" w14:textId="37AF0055" w:rsidR="00D30810" w:rsidRPr="003C106F" w:rsidRDefault="003C106F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4A367014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661763F" w14:textId="77777777" w:rsidTr="00C42138">
        <w:trPr>
          <w:trHeight w:val="609"/>
        </w:trPr>
        <w:tc>
          <w:tcPr>
            <w:tcW w:w="562" w:type="dxa"/>
          </w:tcPr>
          <w:p w14:paraId="52ACBD7E" w14:textId="77777777" w:rsidR="00D30810" w:rsidRPr="003C106F" w:rsidRDefault="00D30810" w:rsidP="00D30810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Pravidelná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kontrola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kvality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parametrov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obrazu</w:t>
            </w:r>
          </w:p>
        </w:tc>
        <w:tc>
          <w:tcPr>
            <w:tcW w:w="0" w:type="auto"/>
          </w:tcPr>
          <w:p w14:paraId="211D9B1F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3ECB97AB" w14:textId="77777777" w:rsidTr="00C42138">
        <w:trPr>
          <w:trHeight w:val="611"/>
        </w:trPr>
        <w:tc>
          <w:tcPr>
            <w:tcW w:w="562" w:type="dxa"/>
          </w:tcPr>
          <w:p w14:paraId="6402080E" w14:textId="77777777" w:rsidR="00D30810" w:rsidRPr="003C106F" w:rsidRDefault="00D30810" w:rsidP="00D30810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EB9EAB4" w:rsidR="00D30810" w:rsidRPr="003C106F" w:rsidRDefault="003C106F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6E806837" w14:textId="77777777" w:rsidTr="00C42138">
        <w:trPr>
          <w:trHeight w:val="609"/>
        </w:trPr>
        <w:tc>
          <w:tcPr>
            <w:tcW w:w="562" w:type="dxa"/>
          </w:tcPr>
          <w:p w14:paraId="23864DFE" w14:textId="77777777" w:rsidR="00D30810" w:rsidRPr="003C106F" w:rsidRDefault="00D30810" w:rsidP="00D30810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prístrojov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5635F18C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C42138">
        <w:trPr>
          <w:trHeight w:val="1230"/>
        </w:trPr>
        <w:tc>
          <w:tcPr>
            <w:tcW w:w="562" w:type="dxa"/>
          </w:tcPr>
          <w:p w14:paraId="4F2AF672" w14:textId="77777777" w:rsidR="00D30810" w:rsidRPr="003C106F" w:rsidRDefault="00D30810" w:rsidP="00D30810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D30810" w:rsidRPr="003C106F" w:rsidRDefault="00D30810" w:rsidP="00D30810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proofErr w:type="spellEnd"/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 w:rsidR="00C42138"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predpísané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426143C1" w14:textId="629AFD74" w:rsidR="00D30810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1B1A89"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="001B1A89"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="001B1A89" w:rsidRPr="003C106F">
              <w:rPr>
                <w:rFonts w:ascii="Verdana" w:hAnsi="Verdana"/>
                <w:sz w:val="20"/>
                <w:szCs w:val="20"/>
              </w:rPr>
              <w:t>update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pokiaľ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vyžaduje</w:t>
            </w:r>
            <w:proofErr w:type="spellEnd"/>
            <w:r w:rsidR="00C42138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42138"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</w:p>
          <w:p w14:paraId="6AACE8C8" w14:textId="775C20A5" w:rsidR="003C106F" w:rsidRPr="003C106F" w:rsidRDefault="003C106F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66B2789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C42138">
        <w:trPr>
          <w:trHeight w:val="692"/>
        </w:trPr>
        <w:tc>
          <w:tcPr>
            <w:tcW w:w="562" w:type="dxa"/>
          </w:tcPr>
          <w:p w14:paraId="26191691" w14:textId="77777777" w:rsidR="00D30810" w:rsidRPr="003C106F" w:rsidRDefault="00D30810" w:rsidP="00C42138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D30810" w:rsidRPr="003C106F" w:rsidRDefault="00D30810" w:rsidP="003C106F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2E2B3FBA" w:rsidR="00D30810" w:rsidRPr="003C106F" w:rsidRDefault="003C106F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C42138">
        <w:trPr>
          <w:trHeight w:val="1230"/>
        </w:trPr>
        <w:tc>
          <w:tcPr>
            <w:tcW w:w="562" w:type="dxa"/>
          </w:tcPr>
          <w:p w14:paraId="7C0FA70F" w14:textId="77777777" w:rsidR="00D30810" w:rsidRPr="003C106F" w:rsidRDefault="00D30810" w:rsidP="00C42138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2C4E84E9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0927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460927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460927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46092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60927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="007E4623">
              <w:rPr>
                <w:rFonts w:ascii="Verdana" w:hAnsi="Verdana"/>
                <w:sz w:val="20"/>
                <w:szCs w:val="20"/>
              </w:rPr>
              <w:t>.</w:t>
            </w:r>
            <w:r w:rsidR="00460927" w:rsidRPr="004609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4623">
              <w:rPr>
                <w:rFonts w:ascii="Verdana" w:hAnsi="Verdana"/>
                <w:sz w:val="20"/>
                <w:szCs w:val="20"/>
              </w:rPr>
              <w:t>C</w:t>
            </w:r>
            <w:r w:rsidR="00386C98" w:rsidRPr="007E4623">
              <w:rPr>
                <w:rFonts w:ascii="Verdana" w:hAnsi="Verdana"/>
                <w:sz w:val="20"/>
                <w:szCs w:val="20"/>
              </w:rPr>
              <w:t xml:space="preserve">ena </w:t>
            </w:r>
            <w:proofErr w:type="spellStart"/>
            <w:r w:rsidR="00386C98" w:rsidRPr="007E4623">
              <w:rPr>
                <w:rFonts w:ascii="Verdana" w:hAnsi="Verdana"/>
                <w:sz w:val="20"/>
                <w:szCs w:val="20"/>
              </w:rPr>
              <w:t>nezahŕňa</w:t>
            </w:r>
            <w:proofErr w:type="spellEnd"/>
            <w:r w:rsidR="00386C98" w:rsidRPr="007E462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86C98" w:rsidRPr="007E4623">
              <w:rPr>
                <w:rFonts w:ascii="Verdana" w:hAnsi="Verdana"/>
                <w:sz w:val="20"/>
                <w:szCs w:val="20"/>
              </w:rPr>
              <w:t>použité</w:t>
            </w:r>
            <w:proofErr w:type="spellEnd"/>
            <w:r w:rsidR="00386C98" w:rsidRPr="007E462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86C98" w:rsidRPr="007E4623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="00386C98" w:rsidRPr="007E462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86C98" w:rsidRPr="007E4623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="007E462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7E4623">
              <w:rPr>
                <w:rFonts w:ascii="Verdana" w:hAnsi="Verdana"/>
                <w:sz w:val="20"/>
                <w:szCs w:val="20"/>
              </w:rPr>
              <w:t>spotrebný</w:t>
            </w:r>
            <w:proofErr w:type="spellEnd"/>
            <w:r w:rsidR="007E4623">
              <w:rPr>
                <w:rFonts w:ascii="Verdana" w:hAnsi="Verdana"/>
                <w:sz w:val="20"/>
                <w:szCs w:val="20"/>
              </w:rPr>
              <w:t xml:space="preserve"> material </w:t>
            </w:r>
            <w:r w:rsidR="007E4623">
              <w:rPr>
                <w:rFonts w:ascii="Aptos" w:hAnsi="Aptos"/>
                <w:color w:val="000000"/>
              </w:rPr>
              <w:t>(</w:t>
            </w:r>
            <w:proofErr w:type="spellStart"/>
            <w:r w:rsidR="007E4623">
              <w:rPr>
                <w:rFonts w:ascii="Aptos" w:hAnsi="Aptos"/>
                <w:color w:val="000000"/>
              </w:rPr>
              <w:t>hadice</w:t>
            </w:r>
            <w:proofErr w:type="spellEnd"/>
            <w:r w:rsidR="007E4623">
              <w:rPr>
                <w:rFonts w:ascii="Aptos" w:hAnsi="Aptos"/>
                <w:color w:val="000000"/>
              </w:rPr>
              <w:t xml:space="preserve">, </w:t>
            </w:r>
            <w:proofErr w:type="spellStart"/>
            <w:r w:rsidR="007E4623">
              <w:rPr>
                <w:rFonts w:ascii="Aptos" w:hAnsi="Aptos"/>
                <w:color w:val="000000"/>
              </w:rPr>
              <w:t>filtre</w:t>
            </w:r>
            <w:proofErr w:type="spellEnd"/>
            <w:r w:rsidR="007E4623">
              <w:rPr>
                <w:rFonts w:ascii="Aptos" w:hAnsi="Aptos"/>
                <w:color w:val="000000"/>
              </w:rPr>
              <w:t xml:space="preserve">, </w:t>
            </w:r>
            <w:proofErr w:type="spellStart"/>
            <w:r w:rsidR="007E4623">
              <w:rPr>
                <w:rFonts w:ascii="Aptos" w:hAnsi="Aptos"/>
                <w:color w:val="000000"/>
              </w:rPr>
              <w:t>senzory</w:t>
            </w:r>
            <w:proofErr w:type="spellEnd"/>
            <w:r w:rsidR="007E4623">
              <w:rPr>
                <w:rFonts w:ascii="Aptos" w:hAnsi="Aptos"/>
                <w:color w:val="000000"/>
              </w:rPr>
              <w:t xml:space="preserve">, </w:t>
            </w:r>
            <w:proofErr w:type="spellStart"/>
            <w:r w:rsidR="007E4623">
              <w:rPr>
                <w:rFonts w:ascii="Aptos" w:hAnsi="Aptos"/>
                <w:color w:val="000000"/>
              </w:rPr>
              <w:t>atď</w:t>
            </w:r>
            <w:proofErr w:type="spellEnd"/>
            <w:r w:rsidR="007E4623">
              <w:rPr>
                <w:rFonts w:ascii="Aptos" w:hAnsi="Aptos"/>
                <w:color w:val="000000"/>
              </w:rPr>
              <w:t xml:space="preserve">.) </w:t>
            </w:r>
            <w:r w:rsidR="007E4623"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 w:rsidR="007E4623">
              <w:rPr>
                <w:rFonts w:ascii="Verdana" w:hAnsi="Verdana"/>
                <w:sz w:val="20"/>
                <w:szCs w:val="20"/>
              </w:rPr>
              <w:t>použité</w:t>
            </w:r>
            <w:proofErr w:type="spellEnd"/>
            <w:r w:rsidR="007E462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E4623">
              <w:rPr>
                <w:rFonts w:ascii="Verdana" w:hAnsi="Verdana"/>
                <w:sz w:val="20"/>
                <w:szCs w:val="20"/>
              </w:rPr>
              <w:t>kalibračné</w:t>
            </w:r>
            <w:proofErr w:type="spellEnd"/>
            <w:r w:rsidR="007E462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E4623">
              <w:rPr>
                <w:rFonts w:ascii="Verdana" w:hAnsi="Verdana"/>
                <w:sz w:val="20"/>
                <w:szCs w:val="20"/>
              </w:rPr>
              <w:t>plyny</w:t>
            </w:r>
            <w:proofErr w:type="spellEnd"/>
            <w:r w:rsidR="007E462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4623">
              <w:rPr>
                <w:rFonts w:ascii="Aptos" w:hAnsi="Aptos"/>
                <w:color w:val="000000"/>
              </w:rPr>
              <w:t xml:space="preserve">CO2, </w:t>
            </w:r>
            <w:proofErr w:type="spellStart"/>
            <w:r w:rsidR="007E4623">
              <w:rPr>
                <w:rFonts w:ascii="Aptos" w:hAnsi="Aptos"/>
                <w:color w:val="000000"/>
              </w:rPr>
              <w:t>Desfluran</w:t>
            </w:r>
            <w:proofErr w:type="spellEnd"/>
            <w:r w:rsidR="007E4623">
              <w:rPr>
                <w:rFonts w:ascii="Aptos" w:hAnsi="Aptos"/>
                <w:color w:val="000000"/>
              </w:rPr>
              <w:t>/</w:t>
            </w:r>
            <w:proofErr w:type="spellStart"/>
            <w:r w:rsidR="007E4623">
              <w:rPr>
                <w:rFonts w:ascii="Aptos" w:hAnsi="Aptos"/>
                <w:color w:val="000000"/>
              </w:rPr>
              <w:t>Isofluran</w:t>
            </w:r>
            <w:proofErr w:type="spellEnd"/>
          </w:p>
        </w:tc>
        <w:tc>
          <w:tcPr>
            <w:tcW w:w="0" w:type="auto"/>
          </w:tcPr>
          <w:p w14:paraId="178F9804" w14:textId="77777777" w:rsidR="007E4623" w:rsidRDefault="007E4623" w:rsidP="003C106F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  <w:p w14:paraId="520CFE19" w14:textId="77777777" w:rsidR="007E4623" w:rsidRDefault="007E4623" w:rsidP="003C106F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  <w:p w14:paraId="6FEAAE17" w14:textId="77777777" w:rsidR="007E4623" w:rsidRDefault="007E4623" w:rsidP="003C106F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  <w:p w14:paraId="4398EF3D" w14:textId="577CF5B3" w:rsidR="00D30810" w:rsidRPr="003C106F" w:rsidRDefault="003C106F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D1ED14C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C42138">
        <w:trPr>
          <w:trHeight w:val="1230"/>
        </w:trPr>
        <w:tc>
          <w:tcPr>
            <w:tcW w:w="562" w:type="dxa"/>
          </w:tcPr>
          <w:p w14:paraId="5B6D4D6F" w14:textId="279A8047" w:rsidR="00C42138" w:rsidRPr="003C106F" w:rsidRDefault="00C42138" w:rsidP="00C42138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1.10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3C106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C42138" w:rsidRPr="003C106F" w:rsidRDefault="00C42138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4590A8AE" w:rsidR="00C42138" w:rsidRPr="003C106F" w:rsidRDefault="003C106F" w:rsidP="003C106F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77777777" w:rsidR="00C42138" w:rsidRPr="00C42138" w:rsidRDefault="00C42138" w:rsidP="00C4213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22EC0C68" w14:textId="77777777" w:rsidTr="00C42138">
        <w:trPr>
          <w:trHeight w:val="1230"/>
        </w:trPr>
        <w:tc>
          <w:tcPr>
            <w:tcW w:w="562" w:type="dxa"/>
          </w:tcPr>
          <w:p w14:paraId="528C5681" w14:textId="72B7DDAE" w:rsidR="003C106F" w:rsidRPr="003C106F" w:rsidRDefault="003C106F" w:rsidP="001B1A89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1.11</w:t>
            </w:r>
          </w:p>
        </w:tc>
        <w:tc>
          <w:tcPr>
            <w:tcW w:w="4337" w:type="dxa"/>
          </w:tcPr>
          <w:p w14:paraId="6CDF6D39" w14:textId="12C05752" w:rsidR="003C106F" w:rsidRPr="003C106F" w:rsidRDefault="003C106F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3C106F" w:rsidRPr="003C106F" w:rsidRDefault="003C106F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7A5B107C" w:rsidR="003C106F" w:rsidRPr="003C106F" w:rsidRDefault="001B1A89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3C106F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77777777" w:rsidR="003C106F" w:rsidRPr="00C42138" w:rsidRDefault="003C106F" w:rsidP="003C106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0AFE1F8E" w14:textId="77777777" w:rsidTr="001B1A89">
        <w:trPr>
          <w:trHeight w:val="724"/>
        </w:trPr>
        <w:tc>
          <w:tcPr>
            <w:tcW w:w="562" w:type="dxa"/>
          </w:tcPr>
          <w:p w14:paraId="26790A5E" w14:textId="374A4094" w:rsidR="003C106F" w:rsidRPr="003C106F" w:rsidRDefault="003C106F" w:rsidP="001B1A89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4337" w:type="dxa"/>
          </w:tcPr>
          <w:p w14:paraId="0C8F8CD2" w14:textId="369C4F79" w:rsidR="003C106F" w:rsidRPr="003C106F" w:rsidRDefault="003C106F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Elektrické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revízie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zariadenia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vykonávané oprávnenou osobou</w:t>
            </w:r>
          </w:p>
        </w:tc>
        <w:tc>
          <w:tcPr>
            <w:tcW w:w="0" w:type="auto"/>
          </w:tcPr>
          <w:p w14:paraId="7BEE5B2D" w14:textId="77777777" w:rsidR="003C106F" w:rsidRPr="003F7088" w:rsidRDefault="003C106F" w:rsidP="003C106F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pt-PT"/>
              </w:rPr>
            </w:pPr>
            <w:r w:rsidRPr="003F7088">
              <w:rPr>
                <w:rFonts w:ascii="Verdana" w:hAnsi="Verdana"/>
                <w:sz w:val="20"/>
                <w:szCs w:val="20"/>
                <w:lang w:val="pt-PT"/>
              </w:rPr>
              <w:t>min.</w:t>
            </w:r>
            <w:r w:rsidRPr="003F7088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</w:t>
            </w:r>
            <w:r w:rsidRPr="003F7088">
              <w:rPr>
                <w:rFonts w:ascii="Verdana" w:hAnsi="Verdana"/>
                <w:sz w:val="20"/>
                <w:szCs w:val="20"/>
                <w:lang w:val="pt-PT"/>
              </w:rPr>
              <w:t>1x</w:t>
            </w:r>
            <w:r w:rsidRPr="003F7088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ročne</w:t>
            </w:r>
          </w:p>
          <w:p w14:paraId="7A1A1181" w14:textId="772B623B" w:rsidR="001B1A89" w:rsidRPr="003F7088" w:rsidRDefault="001B1A89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F7088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áno</w:t>
            </w:r>
          </w:p>
        </w:tc>
        <w:tc>
          <w:tcPr>
            <w:tcW w:w="0" w:type="auto"/>
          </w:tcPr>
          <w:p w14:paraId="551E6B10" w14:textId="77777777" w:rsidR="003C106F" w:rsidRPr="003F7088" w:rsidRDefault="003C106F" w:rsidP="003C106F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91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2503"/>
      </w:tblGrid>
      <w:tr w:rsidR="00A7017E" w:rsidRPr="00C42138" w14:paraId="53E65FD2" w14:textId="77777777" w:rsidTr="00A7017E">
        <w:trPr>
          <w:trHeight w:val="1228"/>
        </w:trPr>
        <w:tc>
          <w:tcPr>
            <w:tcW w:w="526" w:type="dxa"/>
          </w:tcPr>
          <w:p w14:paraId="4110F819" w14:textId="77777777" w:rsidR="00A7017E" w:rsidRPr="003F7088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bookmarkStart w:id="1" w:name="_Hlk158713693"/>
          </w:p>
          <w:p w14:paraId="430AB8F0" w14:textId="77777777" w:rsidR="00A7017E" w:rsidRPr="003F7088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0D65B192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1.13</w:t>
            </w:r>
          </w:p>
        </w:tc>
        <w:tc>
          <w:tcPr>
            <w:tcW w:w="4215" w:type="dxa"/>
          </w:tcPr>
          <w:p w14:paraId="1159F47A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2957" w:type="dxa"/>
          </w:tcPr>
          <w:p w14:paraId="430495E8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F7B7DB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503" w:type="dxa"/>
          </w:tcPr>
          <w:p w14:paraId="3755067B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  <w:tr w:rsidR="00A7017E" w:rsidRPr="00C42138" w14:paraId="17654EC8" w14:textId="77777777" w:rsidTr="00A7017E">
        <w:trPr>
          <w:trHeight w:val="611"/>
        </w:trPr>
        <w:tc>
          <w:tcPr>
            <w:tcW w:w="526" w:type="dxa"/>
            <w:shd w:val="clear" w:color="auto" w:fill="92D050"/>
          </w:tcPr>
          <w:p w14:paraId="47F6CB89" w14:textId="77777777" w:rsidR="00A7017E" w:rsidRPr="00C42138" w:rsidRDefault="00A7017E" w:rsidP="00A7017E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675" w:type="dxa"/>
            <w:gridSpan w:val="3"/>
            <w:shd w:val="clear" w:color="auto" w:fill="92D050"/>
          </w:tcPr>
          <w:p w14:paraId="61EB3536" w14:textId="77777777" w:rsidR="00A7017E" w:rsidRPr="00C42138" w:rsidRDefault="00A7017E" w:rsidP="00A7017E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A7017E" w:rsidRPr="00C42138" w14:paraId="7E537825" w14:textId="77777777" w:rsidTr="00A7017E">
        <w:trPr>
          <w:trHeight w:val="609"/>
        </w:trPr>
        <w:tc>
          <w:tcPr>
            <w:tcW w:w="526" w:type="dxa"/>
          </w:tcPr>
          <w:p w14:paraId="5D20C00E" w14:textId="4F79202C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2D096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15" w:type="dxa"/>
          </w:tcPr>
          <w:p w14:paraId="4C74C0F0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</w:p>
        </w:tc>
        <w:tc>
          <w:tcPr>
            <w:tcW w:w="2957" w:type="dxa"/>
          </w:tcPr>
          <w:p w14:paraId="361A8796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2503" w:type="dxa"/>
          </w:tcPr>
          <w:p w14:paraId="32D05B83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A7017E" w:rsidRPr="00C42138" w14:paraId="3315760A" w14:textId="77777777" w:rsidTr="00A7017E">
        <w:trPr>
          <w:trHeight w:val="611"/>
        </w:trPr>
        <w:tc>
          <w:tcPr>
            <w:tcW w:w="526" w:type="dxa"/>
          </w:tcPr>
          <w:p w14:paraId="63350F30" w14:textId="085A8AB4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2D096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215" w:type="dxa"/>
          </w:tcPr>
          <w:p w14:paraId="05948613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2DE82E04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3F3A2240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2503" w:type="dxa"/>
          </w:tcPr>
          <w:p w14:paraId="3440C013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A7017E" w:rsidRPr="00C42138" w14:paraId="426CA399" w14:textId="77777777" w:rsidTr="00A7017E">
        <w:trPr>
          <w:trHeight w:val="918"/>
        </w:trPr>
        <w:tc>
          <w:tcPr>
            <w:tcW w:w="526" w:type="dxa"/>
          </w:tcPr>
          <w:p w14:paraId="595E2F01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0D3E1D3F" w14:textId="3C1A49A9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2D096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215" w:type="dxa"/>
          </w:tcPr>
          <w:p w14:paraId="22F4B23C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2066720E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 troch pracovných dni od nástupu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2503" w:type="dxa"/>
          </w:tcPr>
          <w:p w14:paraId="153236CA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A7017E" w:rsidRPr="00C42138" w14:paraId="51CF4661" w14:textId="77777777" w:rsidTr="00A7017E">
        <w:trPr>
          <w:trHeight w:val="921"/>
        </w:trPr>
        <w:tc>
          <w:tcPr>
            <w:tcW w:w="526" w:type="dxa"/>
          </w:tcPr>
          <w:p w14:paraId="5CCCF19B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D5DBD05" w14:textId="334FAC4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2D096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15" w:type="dxa"/>
          </w:tcPr>
          <w:p w14:paraId="5029505E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5BFD0109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1D9CC6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2503" w:type="dxa"/>
          </w:tcPr>
          <w:p w14:paraId="4F141DFD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7017E" w:rsidRPr="00C42138" w14:paraId="372EE2B4" w14:textId="77777777" w:rsidTr="00A7017E">
        <w:trPr>
          <w:trHeight w:val="609"/>
        </w:trPr>
        <w:tc>
          <w:tcPr>
            <w:tcW w:w="526" w:type="dxa"/>
          </w:tcPr>
          <w:p w14:paraId="17CBDE6B" w14:textId="5EF38B74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2D096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215" w:type="dxa"/>
          </w:tcPr>
          <w:p w14:paraId="032066EC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0D191A1E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2503" w:type="dxa"/>
          </w:tcPr>
          <w:p w14:paraId="170BB517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A7017E" w:rsidRPr="00C42138" w14:paraId="473DBEAB" w14:textId="77777777" w:rsidTr="00A7017E">
        <w:trPr>
          <w:trHeight w:val="611"/>
        </w:trPr>
        <w:tc>
          <w:tcPr>
            <w:tcW w:w="526" w:type="dxa"/>
          </w:tcPr>
          <w:p w14:paraId="1CBBD631" w14:textId="0353AF03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</w:t>
            </w:r>
            <w:r w:rsidR="002D0967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15" w:type="dxa"/>
          </w:tcPr>
          <w:p w14:paraId="6D14D9D5" w14:textId="77777777" w:rsidR="00A7017E" w:rsidRPr="003C106F" w:rsidRDefault="00A7017E" w:rsidP="00A7017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pozáručného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údržby</w:t>
            </w:r>
          </w:p>
        </w:tc>
        <w:tc>
          <w:tcPr>
            <w:tcW w:w="2957" w:type="dxa"/>
          </w:tcPr>
          <w:p w14:paraId="53F5BDE2" w14:textId="77777777" w:rsidR="00A7017E" w:rsidRPr="003C106F" w:rsidRDefault="00A7017E" w:rsidP="00A701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7017E">
              <w:rPr>
                <w:rFonts w:ascii="Verdana" w:hAnsi="Verdana"/>
                <w:sz w:val="20"/>
                <w:szCs w:val="20"/>
              </w:rPr>
              <w:t xml:space="preserve">24 </w:t>
            </w:r>
            <w:proofErr w:type="spellStart"/>
            <w:r w:rsidRPr="00A7017E">
              <w:rPr>
                <w:rFonts w:ascii="Verdana" w:hAnsi="Verdana"/>
                <w:spacing w:val="-2"/>
                <w:sz w:val="20"/>
                <w:szCs w:val="20"/>
              </w:rPr>
              <w:t>mesiacov</w:t>
            </w:r>
            <w:proofErr w:type="spellEnd"/>
          </w:p>
        </w:tc>
        <w:tc>
          <w:tcPr>
            <w:tcW w:w="2503" w:type="dxa"/>
          </w:tcPr>
          <w:p w14:paraId="15826A89" w14:textId="77777777" w:rsidR="00A7017E" w:rsidRPr="00C42138" w:rsidRDefault="00A7017E" w:rsidP="00A7017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660498" w14:textId="77777777" w:rsidR="00A7017E" w:rsidRDefault="00A7017E" w:rsidP="00A7017E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p w14:paraId="4B845736" w14:textId="77777777" w:rsidR="00A7017E" w:rsidRDefault="00D30810" w:rsidP="00A7017E">
      <w:pPr>
        <w:widowControl/>
        <w:autoSpaceDE/>
        <w:autoSpaceDN/>
        <w:spacing w:after="160" w:line="259" w:lineRule="auto"/>
        <w:rPr>
          <w:rFonts w:ascii="Verdana" w:hAnsi="Verdana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.........</w:t>
      </w:r>
      <w:r w:rsidR="00C710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1B1A89"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76470ECD" w14:textId="77777777" w:rsidR="00A7017E" w:rsidRDefault="00A7017E" w:rsidP="00A7017E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p w14:paraId="3FF1C0FE" w14:textId="77777777" w:rsidR="00A7017E" w:rsidRDefault="00D30810" w:rsidP="00A7017E">
      <w:pPr>
        <w:widowControl/>
        <w:autoSpaceDE/>
        <w:autoSpaceDN/>
        <w:spacing w:after="160" w:line="259" w:lineRule="auto"/>
        <w:rPr>
          <w:rFonts w:ascii="Verdana" w:hAnsi="Verdana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:...</w:t>
      </w:r>
      <w:r w:rsidR="00C710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2AD9B15" w14:textId="3BB23D98" w:rsidR="00D30810" w:rsidRPr="00A7017E" w:rsidRDefault="00D30810" w:rsidP="00A7017E">
      <w:pPr>
        <w:widowControl/>
        <w:autoSpaceDE/>
        <w:autoSpaceDN/>
        <w:spacing w:after="160" w:line="259" w:lineRule="auto"/>
        <w:rPr>
          <w:rFonts w:ascii="Verdana" w:hAnsi="Verdana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C710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.............................................................................................</w:t>
      </w:r>
      <w:r w:rsidR="001B1A89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1881D88D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344C566D" w14:textId="77777777" w:rsidR="001B1A89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89417BE" w14:textId="77777777" w:rsidR="001B1A89" w:rsidRPr="00C42138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250B2CA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2CE7C39B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924C287" w14:textId="77777777" w:rsidR="00C42138" w:rsidRDefault="00C42138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74C94D8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3A158C5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9C238E1" w14:textId="77777777" w:rsidR="00A7017E" w:rsidRPr="00C42138" w:rsidRDefault="00A7017E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247CB14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274699D4" w14:textId="2B0CFD5C" w:rsidR="00D30810" w:rsidRPr="00C42138" w:rsidRDefault="00D30810" w:rsidP="001B1A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D30810" w:rsidRPr="00C42138" w:rsidSect="00040456">
          <w:pgSz w:w="11910" w:h="16840"/>
          <w:pgMar w:top="2060" w:right="740" w:bottom="1380" w:left="960" w:header="960" w:footer="283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uchádza</w:t>
      </w:r>
      <w:r w:rsidR="006F1851">
        <w:rPr>
          <w:rFonts w:ascii="Verdana" w:hAnsi="Verdana"/>
          <w:i/>
          <w:iCs/>
          <w:sz w:val="20"/>
          <w:szCs w:val="20"/>
        </w:rPr>
        <w:t>č</w:t>
      </w:r>
    </w:p>
    <w:bookmarkEnd w:id="0"/>
    <w:p w14:paraId="34FE6814" w14:textId="77777777" w:rsidR="00D30810" w:rsidRDefault="00D30810"/>
    <w:sectPr w:rsidR="00D3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B75D" w14:textId="77777777" w:rsidR="00040456" w:rsidRDefault="00040456" w:rsidP="001B1A89">
      <w:r>
        <w:separator/>
      </w:r>
    </w:p>
  </w:endnote>
  <w:endnote w:type="continuationSeparator" w:id="0">
    <w:p w14:paraId="6ECEBCF3" w14:textId="77777777" w:rsidR="00040456" w:rsidRDefault="00040456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1C68" w14:textId="77777777" w:rsidR="00040456" w:rsidRDefault="00040456" w:rsidP="001B1A89">
      <w:r>
        <w:separator/>
      </w:r>
    </w:p>
  </w:footnote>
  <w:footnote w:type="continuationSeparator" w:id="0">
    <w:p w14:paraId="56911FD4" w14:textId="77777777" w:rsidR="00040456" w:rsidRDefault="00040456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40456"/>
    <w:rsid w:val="00085D70"/>
    <w:rsid w:val="001A31BE"/>
    <w:rsid w:val="001B1A89"/>
    <w:rsid w:val="002D0967"/>
    <w:rsid w:val="00386C98"/>
    <w:rsid w:val="003C106F"/>
    <w:rsid w:val="003D5E40"/>
    <w:rsid w:val="003F7088"/>
    <w:rsid w:val="00460927"/>
    <w:rsid w:val="004E259D"/>
    <w:rsid w:val="00501D6A"/>
    <w:rsid w:val="006F1851"/>
    <w:rsid w:val="007E4623"/>
    <w:rsid w:val="00A7017E"/>
    <w:rsid w:val="00C42138"/>
    <w:rsid w:val="00C7108A"/>
    <w:rsid w:val="00D30810"/>
    <w:rsid w:val="00D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11</cp:revision>
  <dcterms:created xsi:type="dcterms:W3CDTF">2024-02-15T11:51:00Z</dcterms:created>
  <dcterms:modified xsi:type="dcterms:W3CDTF">2024-03-13T07:49:00Z</dcterms:modified>
</cp:coreProperties>
</file>