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958AF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E3E1F62" w:rsidR="001958AF" w:rsidRDefault="001958AF" w:rsidP="001958AF">
            <w:pPr>
              <w:rPr>
                <w:rStyle w:val="ra"/>
              </w:rPr>
            </w:pPr>
            <w:r w:rsidRPr="00860225">
              <w:rPr>
                <w:rStyle w:val="ra"/>
              </w:rPr>
              <w:t>DUFART, s.r.o.</w:t>
            </w:r>
          </w:p>
        </w:tc>
      </w:tr>
      <w:tr w:rsidR="001958AF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457FEF58" w:rsidR="001958AF" w:rsidRDefault="001958AF" w:rsidP="001958AF">
            <w:pPr>
              <w:rPr>
                <w:rStyle w:val="ra"/>
              </w:rPr>
            </w:pPr>
            <w:r w:rsidRPr="00860225">
              <w:t>44701004</w:t>
            </w:r>
          </w:p>
        </w:tc>
      </w:tr>
      <w:tr w:rsidR="001958A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297D649C" w:rsidR="001958AF" w:rsidRDefault="001958AF" w:rsidP="001958AF">
            <w:r w:rsidRPr="00860225">
              <w:t xml:space="preserve">Sejačka s precíznym </w:t>
            </w:r>
            <w:proofErr w:type="spellStart"/>
            <w:r w:rsidRPr="00860225">
              <w:t>prihnojovaním</w:t>
            </w:r>
            <w:proofErr w:type="spellEnd"/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02A5" w14:textId="77777777" w:rsidR="00977097" w:rsidRDefault="00977097" w:rsidP="00A73F13">
      <w:r>
        <w:separator/>
      </w:r>
    </w:p>
  </w:endnote>
  <w:endnote w:type="continuationSeparator" w:id="0">
    <w:p w14:paraId="0E0C514C" w14:textId="77777777" w:rsidR="00977097" w:rsidRDefault="0097709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0308" w14:textId="77777777" w:rsidR="00977097" w:rsidRDefault="00977097" w:rsidP="00A73F13">
      <w:r>
        <w:separator/>
      </w:r>
    </w:p>
  </w:footnote>
  <w:footnote w:type="continuationSeparator" w:id="0">
    <w:p w14:paraId="41493ED2" w14:textId="77777777" w:rsidR="00977097" w:rsidRDefault="0097709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958AF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2024-04-16T12:09:00Z</dcterms:modified>
</cp:coreProperties>
</file>