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3F5F2CD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46D89">
        <w:rPr>
          <w:rFonts w:asciiTheme="minorHAnsi" w:hAnsiTheme="minorHAnsi" w:cstheme="minorHAnsi"/>
          <w:b/>
          <w:sz w:val="22"/>
          <w:szCs w:val="22"/>
        </w:rPr>
        <w:t xml:space="preserve">Obstaranie </w:t>
      </w:r>
      <w:r w:rsidR="00BD2AD2">
        <w:rPr>
          <w:rFonts w:asciiTheme="minorHAnsi" w:hAnsiTheme="minorHAnsi" w:cstheme="minorHAnsi"/>
          <w:b/>
          <w:sz w:val="22"/>
          <w:szCs w:val="22"/>
        </w:rPr>
        <w:t>zemiakového kombajnu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68BB37D" w14:textId="090FDFFA" w:rsidR="00BD2AD2" w:rsidRPr="001C4251" w:rsidRDefault="00BD2AD2" w:rsidP="00BD2A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Obstaranie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zemiakového kombajnu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04D008A4" w:rsidR="00E744A8" w:rsidRPr="00827D18" w:rsidRDefault="00BD2AD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2024-04-17T12:43:00Z</dcterms:modified>
</cp:coreProperties>
</file>