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D85" w14:textId="1F10CFFA" w:rsidR="000B51AB" w:rsidRPr="000502E1" w:rsidRDefault="000B51AB" w:rsidP="000502E1">
      <w:pPr>
        <w:pStyle w:val="Nadpis1"/>
        <w:spacing w:before="0" w:after="240" w:line="240" w:lineRule="auto"/>
        <w:jc w:val="center"/>
        <w:rPr>
          <w:rFonts w:ascii="ABC Camera Medium" w:eastAsia="Times New Roman" w:hAnsi="ABC Camera Medium" w:cs="Arial"/>
          <w:b/>
          <w:bCs/>
          <w:color w:val="754BFF"/>
          <w:kern w:val="0"/>
          <w14:ligatures w14:val="none"/>
        </w:rPr>
      </w:pPr>
      <w:r w:rsidRPr="000502E1">
        <w:rPr>
          <w:rFonts w:ascii="ABC Camera Medium" w:eastAsia="Times New Roman" w:hAnsi="ABC Camera Medium" w:cs="Arial"/>
          <w:b/>
          <w:bCs/>
          <w:color w:val="754BFF"/>
          <w:kern w:val="0"/>
          <w14:ligatures w14:val="none"/>
        </w:rPr>
        <w:t>Návrh spôsobu nákupu elektrickej energie</w:t>
      </w:r>
    </w:p>
    <w:p w14:paraId="455EEDE3" w14:textId="77777777" w:rsidR="000B51AB" w:rsidRDefault="000B51AB" w:rsidP="00DE7D4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B0AD918" w14:textId="4F063338" w:rsidR="00F85401" w:rsidRPr="008630EC" w:rsidRDefault="00197BB0" w:rsidP="00F33AE5">
      <w:pPr>
        <w:pStyle w:val="Nadpis1"/>
        <w:numPr>
          <w:ilvl w:val="0"/>
          <w:numId w:val="12"/>
        </w:numPr>
        <w:spacing w:before="0" w:after="160" w:line="240" w:lineRule="auto"/>
        <w:ind w:left="0" w:hanging="567"/>
        <w:jc w:val="both"/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</w:pPr>
      <w:r w:rsidRPr="008630EC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Rozdelenie odberateľov</w:t>
      </w:r>
      <w:r w:rsidR="00F33AE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a</w:t>
      </w:r>
      <w:r w:rsidRPr="008630EC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p</w:t>
      </w:r>
      <w:r w:rsidR="00F85401" w:rsidRPr="008630EC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redpokladané množstv</w:t>
      </w:r>
      <w:r w:rsidR="00F33AE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á odberu</w:t>
      </w:r>
    </w:p>
    <w:p w14:paraId="15F199FB" w14:textId="63E4A779" w:rsidR="0091322D" w:rsidRPr="00DE7D44" w:rsidRDefault="00732B81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Organizácie</w:t>
      </w:r>
      <w:r w:rsidR="00C77C10">
        <w:rPr>
          <w:rFonts w:ascii="Arial" w:hAnsi="Arial" w:cs="Arial"/>
          <w:sz w:val="20"/>
          <w:szCs w:val="20"/>
        </w:rPr>
        <w:t>, ktoré budú odberateľmi elektrickej energie na základe výsledkov zákazky</w:t>
      </w:r>
      <w:r w:rsidR="00675F99" w:rsidRPr="00DE7D44">
        <w:rPr>
          <w:rFonts w:ascii="Arial" w:hAnsi="Arial" w:cs="Arial"/>
          <w:sz w:val="20"/>
          <w:szCs w:val="20"/>
        </w:rPr>
        <w:t xml:space="preserve"> sú rozdelené </w:t>
      </w:r>
      <w:r w:rsidR="00461867">
        <w:rPr>
          <w:rFonts w:ascii="Arial" w:hAnsi="Arial" w:cs="Arial"/>
          <w:sz w:val="20"/>
          <w:szCs w:val="20"/>
        </w:rPr>
        <w:br/>
      </w:r>
      <w:r w:rsidR="00675F99" w:rsidRPr="00DE7D44">
        <w:rPr>
          <w:rFonts w:ascii="Arial" w:hAnsi="Arial" w:cs="Arial"/>
          <w:sz w:val="20"/>
          <w:szCs w:val="20"/>
        </w:rPr>
        <w:t>do piatich skupín nasledovne: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268"/>
      </w:tblGrid>
      <w:tr w:rsidR="003F27F3" w:rsidRPr="00DE7D44" w14:paraId="1346DD13" w14:textId="77777777" w:rsidTr="00FE01D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F826E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Skupina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B8409" w14:textId="7C25573F" w:rsidR="003F27F3" w:rsidRPr="00DE7D44" w:rsidRDefault="00506399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</w:t>
            </w:r>
            <w:r w:rsidR="00116CA8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dberateľ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053172" w14:textId="69765C01" w:rsidR="003F27F3" w:rsidRPr="00DE7D44" w:rsidRDefault="00506399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Predpokladaná r</w:t>
            </w:r>
            <w:r w:rsidR="005F59BD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očná s</w:t>
            </w:r>
            <w:r w:rsidR="003F27F3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potreba </w:t>
            </w:r>
            <w:r w:rsidR="005F59BD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v </w:t>
            </w:r>
            <w:r w:rsidR="003F27F3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MWh</w:t>
            </w:r>
          </w:p>
        </w:tc>
      </w:tr>
      <w:tr w:rsidR="003F27F3" w:rsidRPr="00DE7D44" w14:paraId="6AA2A262" w14:textId="77777777" w:rsidTr="00FE01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E2A5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506" w14:textId="25D72E23" w:rsidR="003F27F3" w:rsidRPr="00DE7D44" w:rsidRDefault="00F01C71" w:rsidP="00FE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Hlavné mesto SR Bratislava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</w:t>
            </w:r>
            <w:r w:rsidR="008827FA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 jej 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rozpočtové a príspevkové organizácie</w:t>
            </w:r>
            <w:r w:rsidR="008827FA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 mestsk</w:t>
            </w:r>
            <w:r w:rsidR="005C2C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á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čas</w:t>
            </w:r>
            <w:r w:rsidR="005C2C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9AE" w14:textId="6CA404B9" w:rsidR="003F27F3" w:rsidRPr="00DE7D44" w:rsidRDefault="00261F8B" w:rsidP="00FE0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14 648</w:t>
            </w:r>
          </w:p>
        </w:tc>
      </w:tr>
      <w:tr w:rsidR="003F27F3" w:rsidRPr="00DE7D44" w14:paraId="4BFDDF05" w14:textId="77777777" w:rsidTr="00FE01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172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C2E" w14:textId="5D23E31C" w:rsidR="003F27F3" w:rsidRPr="00DE7D44" w:rsidRDefault="003F27F3" w:rsidP="00FE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dvoz a likvidácia odpad</w:t>
            </w:r>
            <w:r w:rsidR="007959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</w:t>
            </w:r>
            <w:r w:rsidR="00C77C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a.s.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F01C71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MDS </w:t>
            </w:r>
            <w:r w:rsidR="00F01C71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ZEVO</w:t>
            </w:r>
            <w:r w:rsidR="00F01C71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AB6A" w14:textId="77777777" w:rsidR="003F27F3" w:rsidRPr="00DE7D44" w:rsidRDefault="003F27F3" w:rsidP="00FE0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900</w:t>
            </w:r>
          </w:p>
        </w:tc>
      </w:tr>
      <w:tr w:rsidR="003F27F3" w:rsidRPr="00DE7D44" w14:paraId="023E6A85" w14:textId="77777777" w:rsidTr="00FE01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0AA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BF65" w14:textId="0C674403" w:rsidR="003F27F3" w:rsidRPr="00DE7D44" w:rsidRDefault="003F27F3" w:rsidP="00FE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Technické siete Bratislava</w:t>
            </w:r>
            <w:r w:rsidR="005063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a. s. (primárne verejné osvetlenie)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6646" w14:textId="6B56308E" w:rsidR="003F27F3" w:rsidRPr="00DE7D44" w:rsidRDefault="003F27F3" w:rsidP="00FE0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</w:t>
            </w:r>
            <w:r w:rsidR="00261F8B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000</w:t>
            </w:r>
          </w:p>
        </w:tc>
      </w:tr>
      <w:tr w:rsidR="003F27F3" w:rsidRPr="00DE7D44" w14:paraId="26911B29" w14:textId="77777777" w:rsidTr="00FE01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0B0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F566" w14:textId="29BA222E" w:rsidR="003F27F3" w:rsidRPr="00DE7D44" w:rsidRDefault="003F27F3" w:rsidP="00FE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</w:t>
            </w:r>
            <w:r w:rsidR="00F01C71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opravný podnik Bratislava</w:t>
            </w:r>
            <w:r w:rsidR="005063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</w:t>
            </w:r>
            <w:r w:rsidR="007959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kciová spoločnosť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2325" w14:textId="6491A175" w:rsidR="003F27F3" w:rsidRPr="00DE7D44" w:rsidRDefault="003F27F3" w:rsidP="00FE0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</w:t>
            </w:r>
            <w:r w:rsidR="00261F8B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000</w:t>
            </w:r>
          </w:p>
        </w:tc>
      </w:tr>
      <w:tr w:rsidR="003F27F3" w:rsidRPr="00DE7D44" w14:paraId="08C0BEF3" w14:textId="77777777" w:rsidTr="00FE01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9C5" w14:textId="77777777" w:rsidR="003F27F3" w:rsidRPr="00DE7D44" w:rsidRDefault="003F27F3" w:rsidP="00FE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50B" w14:textId="5BB5FD4A" w:rsidR="003F27F3" w:rsidRPr="00DE7D44" w:rsidRDefault="00F01C71" w:rsidP="00FE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  <w:r w:rsidR="00DA2C53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ratislavská vodárenská spoločnosť</w:t>
            </w:r>
            <w:r w:rsidR="00A917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</w:t>
            </w:r>
            <w:r w:rsidR="005063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a.s.</w:t>
            </w:r>
            <w:r w:rsidR="00DA2C53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</w:t>
            </w:r>
            <w:r w:rsidR="002946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="003F27F3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BIONERGY</w:t>
            </w:r>
            <w:r w:rsidR="002946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a. 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5F6" w14:textId="6B73EBFD" w:rsidR="003F27F3" w:rsidRPr="00DE7D44" w:rsidRDefault="003F27F3" w:rsidP="00FE0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</w:t>
            </w:r>
            <w:r w:rsidR="00261F8B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000</w:t>
            </w:r>
          </w:p>
        </w:tc>
      </w:tr>
      <w:tr w:rsidR="004E56B9" w:rsidRPr="00DE7D44" w14:paraId="37E67454" w14:textId="77777777" w:rsidTr="00FE01D7">
        <w:trPr>
          <w:trHeight w:val="3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9D9A42" w14:textId="099A2F0C" w:rsidR="004E56B9" w:rsidRPr="00DE7D44" w:rsidRDefault="004E56B9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Celkovo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33C3AD" w14:textId="50229131" w:rsidR="004E56B9" w:rsidRPr="00DE7D44" w:rsidRDefault="004E56B9" w:rsidP="00461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145 548</w:t>
            </w:r>
          </w:p>
        </w:tc>
      </w:tr>
    </w:tbl>
    <w:p w14:paraId="5CB1ADF4" w14:textId="485BAAA8" w:rsidR="003E399E" w:rsidRPr="003E399E" w:rsidRDefault="003E399E" w:rsidP="003E399E">
      <w:pPr>
        <w:spacing w:before="1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99E">
        <w:rPr>
          <w:rFonts w:ascii="Arial" w:hAnsi="Arial" w:cs="Arial"/>
          <w:b/>
          <w:bCs/>
          <w:sz w:val="20"/>
          <w:szCs w:val="20"/>
        </w:rPr>
        <w:t>Rozdelenie organizácií 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3E399E">
        <w:rPr>
          <w:rFonts w:ascii="Arial" w:hAnsi="Arial" w:cs="Arial"/>
          <w:b/>
          <w:bCs/>
          <w:sz w:val="20"/>
          <w:szCs w:val="20"/>
        </w:rPr>
        <w:t>spoločností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98"/>
        <w:gridCol w:w="2409"/>
      </w:tblGrid>
      <w:tr w:rsidR="003E399E" w:rsidRPr="003E399E" w14:paraId="39E113FD" w14:textId="77777777" w:rsidTr="001078A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6B431B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E39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Skupina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8FA3800" w14:textId="1B522494" w:rsidR="003E399E" w:rsidRPr="003E399E" w:rsidRDefault="001078A6" w:rsidP="00FC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Odberateľ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24345FF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E39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Ročná spotreba v MWh</w:t>
            </w:r>
          </w:p>
        </w:tc>
      </w:tr>
      <w:tr w:rsidR="003E399E" w:rsidRPr="003E399E" w14:paraId="28C14AE2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AE46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35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Bratislavské kultúrne a informačné stredisko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E7C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E399E" w:rsidRPr="003E399E" w14:paraId="10F82E8B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7FCB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515B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Centrum voľného času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FC42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3E399E" w:rsidRPr="003E399E" w14:paraId="2EA96F0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57AD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3EC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Dom tretieho veku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AE1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</w:tr>
      <w:tr w:rsidR="003E399E" w:rsidRPr="003E399E" w14:paraId="6D0BCA7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A58D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56E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Domov dôchodcov -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Gerium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DA8B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3E399E" w:rsidRPr="003E399E" w14:paraId="01231AE5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BAAD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67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Domov jesene života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1E3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310,00</w:t>
            </w:r>
          </w:p>
        </w:tc>
      </w:tr>
      <w:tr w:rsidR="003E399E" w:rsidRPr="003E399E" w14:paraId="6CA3B45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61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0C60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Domov pri kríži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99C3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E399E" w:rsidRPr="003E399E" w14:paraId="159BCD02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A06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217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Domov seniorov ARCHA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4423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3E399E" w:rsidRPr="003E399E" w14:paraId="44587CD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47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79B6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Domov seniorov Lamač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B97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3E399E" w:rsidRPr="003E399E" w14:paraId="5B299C8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2DE8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30A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Galéria mesta Bratislavy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497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E399E" w:rsidRPr="003E399E" w14:paraId="6FC9812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50F0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F0FC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Generálny investor Bratislavy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FAB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3E399E" w:rsidRPr="003E399E" w14:paraId="6E963DFA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B3CD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720E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Hlavné mesto Slovenskej republiky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781" w14:textId="568A20DE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3E399E" w:rsidRPr="003E399E" w14:paraId="4333B01F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FEA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3A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Knižnica Bratislava - Nové mesto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B118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E399E" w:rsidRPr="003E399E" w14:paraId="1B98ED6F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D43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1AD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Marianum</w:t>
            </w:r>
            <w:proofErr w:type="spellEnd"/>
            <w:r w:rsidRPr="003E399E">
              <w:rPr>
                <w:rFonts w:ascii="Arial" w:hAnsi="Arial" w:cs="Arial"/>
                <w:sz w:val="20"/>
                <w:szCs w:val="20"/>
              </w:rPr>
              <w:t xml:space="preserve"> - pohrebníctvo v Bratislave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7A1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3E399E" w:rsidRPr="003E399E" w14:paraId="689DF770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9AA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46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Mestská časť Bratislava - Nové Mesto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5747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365,00</w:t>
            </w:r>
          </w:p>
        </w:tc>
      </w:tr>
      <w:tr w:rsidR="003E399E" w:rsidRPr="003E399E" w14:paraId="423AE87E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9D1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4081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Mestská knižnica v Bratislave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7CF1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E399E" w:rsidRPr="003E399E" w14:paraId="23D149DF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36D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8BA4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Mestské lesy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F3C3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E399E" w:rsidRPr="003E399E" w14:paraId="7F8204F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B52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58F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Mestský parkovací systém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D136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3E399E" w:rsidRPr="003E399E" w14:paraId="3B7F24FA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7DC7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137B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Mestský ústav ochrany pamiatok /MUOP/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4DDF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</w:tr>
      <w:tr w:rsidR="003E399E" w:rsidRPr="003E399E" w14:paraId="64C1352A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50CE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B56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METRO Bratislava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BD8A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3E399E" w:rsidRPr="003E399E" w14:paraId="039095A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8AE3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FF42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Múzeum mesta Bratislavy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43D1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3E399E" w:rsidRPr="003E399E" w14:paraId="520C3DE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A5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091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Petržalský domov seniorov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66A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E399E" w:rsidRPr="003E399E" w14:paraId="12E843BE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840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7736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Resocializačné stredisko RETEST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C42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E399E" w:rsidRPr="003E399E" w14:paraId="28B77EDF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9BD9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D24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STaRZ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BAEA" w14:textId="76E8A836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E399E" w:rsidRPr="003E399E" w14:paraId="43F341D2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FF04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F34D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Stredisko kultúry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950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3E399E" w:rsidRPr="003E399E" w14:paraId="1B049D8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45F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D9B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Základná umelecká škola Františka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Oswalda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9F21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E399E" w:rsidRPr="003E399E" w14:paraId="3C291A1A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358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47E7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Základná umelecká škola J.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Kresánka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0D7C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3E399E" w:rsidRPr="003E399E" w14:paraId="3F3F6821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18F0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93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Základná umelecká škola Jána Albrechta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B5B9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3E399E" w:rsidRPr="003E399E" w14:paraId="55BD1741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7F5E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0FF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Základná umelecká škola Júliusa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Kowalského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3640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3E399E" w:rsidRPr="003E399E" w14:paraId="199B94B3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8EE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703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Základná umelecká škola Ľudovíta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Rajtera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A527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3E399E" w:rsidRPr="003E399E" w14:paraId="46398D51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4E1B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254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Základná umelecká škola na Exnárovej ul.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3E9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E399E" w:rsidRPr="003E399E" w14:paraId="0CF93CE8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36F1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F3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Základná umelecká škola, Hálkova 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548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3E399E" w:rsidRPr="003E399E" w14:paraId="3E1D6008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4A46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FE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Základná umelecká škola, Istrijská 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F6AF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E399E" w:rsidRPr="003E399E" w14:paraId="7F7C5EA0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DF30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47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Základná umelecká škola,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Vrbenského</w:t>
            </w:r>
            <w:proofErr w:type="spellEnd"/>
            <w:r w:rsidRPr="003E399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3A2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3E399E" w:rsidRPr="003E399E" w14:paraId="32A1AD52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9D8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2ED8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Zoologická záhrada Bratislava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31C" w14:textId="6EE233C3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3E399E" w:rsidRPr="003E399E" w14:paraId="2C01E75B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C97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9D6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MČ NM - ZŠ s MŠ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Cádrová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3FAF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E399E" w:rsidRPr="003E399E" w14:paraId="160A0812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C2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2414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MČ NM - ZŠ s MŠ Česká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2EA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E399E" w:rsidRPr="003E399E" w14:paraId="2319BFBA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64F2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98D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MČ NM - ZŠ s MŠ </w:t>
            </w:r>
            <w:proofErr w:type="spellStart"/>
            <w:r w:rsidRPr="003E399E">
              <w:rPr>
                <w:rFonts w:ascii="Arial" w:hAnsi="Arial" w:cs="Arial"/>
                <w:sz w:val="20"/>
                <w:szCs w:val="20"/>
              </w:rPr>
              <w:t>Jeséniova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548F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E399E" w:rsidRPr="003E399E" w14:paraId="4C7A823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AE1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1815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MČ NM -ZŠ s MŠ Kalinčiakova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95E7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E399E" w:rsidRPr="003E399E" w14:paraId="4203D91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314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361A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MČ NM - ZŠ s MŠ Odborárska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A5B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E399E" w:rsidRPr="003E399E" w14:paraId="72E12CA7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DA4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E96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MČ NM -ZŠ s MŠ Riazanská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1AC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3E399E" w:rsidRPr="003E399E" w14:paraId="3EDEDB5C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F336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1DC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 xml:space="preserve">MČ NM - ZŠ s MŠ Sibírska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BD8F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E399E" w:rsidRPr="003E399E" w14:paraId="2DC78E15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C0C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70BF" w14:textId="77777777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MČ NM - ZŠ s MŠ Za kasárňou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58D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E399E" w:rsidRPr="003E399E" w14:paraId="0B28397E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78D8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DFAC" w14:textId="6E950F0A" w:rsidR="003E399E" w:rsidRPr="003E399E" w:rsidRDefault="001078A6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dvoz a likvidácia odpadu a.s.</w:t>
            </w:r>
            <w:r w:rsidR="003E399E" w:rsidRPr="003E399E">
              <w:rPr>
                <w:rFonts w:ascii="Arial" w:hAnsi="Arial" w:cs="Arial"/>
                <w:sz w:val="20"/>
                <w:szCs w:val="20"/>
              </w:rPr>
              <w:t xml:space="preserve"> - MDS + ZEVO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DDD" w14:textId="77777777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3E399E" w:rsidRPr="003E399E" w14:paraId="71869DDF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55B7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1723" w14:textId="26DFD66E" w:rsidR="003E399E" w:rsidRPr="003E399E" w:rsidRDefault="003E399E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Technické siete Bratislava</w:t>
            </w:r>
            <w:r w:rsidR="001078A6">
              <w:rPr>
                <w:rFonts w:ascii="Arial" w:hAnsi="Arial" w:cs="Arial"/>
                <w:sz w:val="20"/>
                <w:szCs w:val="20"/>
              </w:rPr>
              <w:t>, a.s.</w:t>
            </w:r>
            <w:r w:rsidRPr="003E39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078A6">
              <w:rPr>
                <w:rFonts w:ascii="Arial" w:hAnsi="Arial" w:cs="Arial"/>
                <w:sz w:val="20"/>
                <w:szCs w:val="20"/>
              </w:rPr>
              <w:t>v</w:t>
            </w:r>
            <w:r w:rsidRPr="003E399E">
              <w:rPr>
                <w:rFonts w:ascii="Arial" w:hAnsi="Arial" w:cs="Arial"/>
                <w:sz w:val="20"/>
                <w:szCs w:val="20"/>
              </w:rPr>
              <w:t>erejné osvetlenie)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6266" w14:textId="0C1BCB3B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15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3E399E" w:rsidRPr="003E399E" w14:paraId="54585DE4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467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EF2" w14:textId="1A4CD763" w:rsidR="003E399E" w:rsidRPr="003E399E" w:rsidRDefault="001078A6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Dopravný podnik Bratislava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akciová spoločnosť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020" w14:textId="21503D19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52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3E399E" w:rsidRPr="003E399E" w14:paraId="038A2826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CDBE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CAAA" w14:textId="20DCCD58" w:rsidR="003E399E" w:rsidRPr="003E399E" w:rsidRDefault="001078A6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BIONERGY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a. s.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B106" w14:textId="1E44B76F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15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3E399E" w:rsidRPr="003E399E" w14:paraId="0D22CE90" w14:textId="77777777" w:rsidTr="00FC5A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BBF" w14:textId="77777777" w:rsidR="003E399E" w:rsidRPr="003E399E" w:rsidRDefault="003E399E" w:rsidP="00FC5A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317" w14:textId="582EB68A" w:rsidR="003E399E" w:rsidRPr="003E399E" w:rsidRDefault="001078A6" w:rsidP="00FC5A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Bratislavská vodárenská spoločnosť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a.s.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37FD" w14:textId="4D3DDE83" w:rsidR="003E399E" w:rsidRPr="003E399E" w:rsidRDefault="003E399E" w:rsidP="00FC5A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399E">
              <w:rPr>
                <w:rFonts w:ascii="Arial" w:hAnsi="Arial" w:cs="Arial"/>
                <w:sz w:val="20"/>
                <w:szCs w:val="20"/>
              </w:rPr>
              <w:t>48</w:t>
            </w:r>
            <w:r w:rsidR="00FC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99E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14:paraId="5384DCB7" w14:textId="373A46BB" w:rsidR="00CC71C3" w:rsidRPr="00DE7D44" w:rsidRDefault="1DEF8C02" w:rsidP="00F05923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Predpokladané množstvo dodanej elektrickej energie pre všetkých odberateľov počas obdobia zmluvných vzťahov </w:t>
      </w:r>
      <w:r w:rsidR="000A06FD">
        <w:rPr>
          <w:rFonts w:ascii="Arial" w:hAnsi="Arial" w:cs="Arial"/>
          <w:sz w:val="20"/>
          <w:szCs w:val="20"/>
        </w:rPr>
        <w:t xml:space="preserve">počas rokov </w:t>
      </w:r>
      <w:r w:rsidRPr="00DE7D44">
        <w:rPr>
          <w:rFonts w:ascii="Arial" w:hAnsi="Arial" w:cs="Arial"/>
          <w:sz w:val="20"/>
          <w:szCs w:val="20"/>
        </w:rPr>
        <w:t>2025</w:t>
      </w:r>
      <w:r w:rsidR="000A06FD">
        <w:rPr>
          <w:rFonts w:ascii="Arial" w:hAnsi="Arial" w:cs="Arial"/>
          <w:sz w:val="20"/>
          <w:szCs w:val="20"/>
        </w:rPr>
        <w:t xml:space="preserve"> až </w:t>
      </w:r>
      <w:r w:rsidRPr="00DE7D44">
        <w:rPr>
          <w:rFonts w:ascii="Arial" w:hAnsi="Arial" w:cs="Arial"/>
          <w:sz w:val="20"/>
          <w:szCs w:val="20"/>
        </w:rPr>
        <w:t xml:space="preserve">2028 je </w:t>
      </w:r>
      <w:r w:rsidR="00011D00" w:rsidRPr="00DE7D44">
        <w:rPr>
          <w:rFonts w:ascii="Arial" w:hAnsi="Arial" w:cs="Arial"/>
          <w:sz w:val="20"/>
          <w:szCs w:val="20"/>
        </w:rPr>
        <w:t>598 1</w:t>
      </w:r>
      <w:r w:rsidR="009E4A75" w:rsidRPr="00DE7D44">
        <w:rPr>
          <w:rFonts w:ascii="Arial" w:hAnsi="Arial" w:cs="Arial"/>
          <w:sz w:val="20"/>
          <w:szCs w:val="20"/>
        </w:rPr>
        <w:t>20</w:t>
      </w:r>
      <w:r w:rsidRPr="00DE7D44">
        <w:rPr>
          <w:rFonts w:ascii="Arial" w:hAnsi="Arial" w:cs="Arial"/>
          <w:sz w:val="20"/>
          <w:szCs w:val="20"/>
        </w:rPr>
        <w:t xml:space="preserve"> MWh. Tento objem bol určený</w:t>
      </w:r>
      <w:r w:rsidR="000A06FD">
        <w:rPr>
          <w:rFonts w:ascii="Arial" w:hAnsi="Arial" w:cs="Arial"/>
          <w:sz w:val="20"/>
          <w:szCs w:val="20"/>
        </w:rPr>
        <w:t xml:space="preserve"> verejným</w:t>
      </w:r>
      <w:r w:rsidRPr="00DE7D44">
        <w:rPr>
          <w:rFonts w:ascii="Arial" w:hAnsi="Arial" w:cs="Arial"/>
          <w:sz w:val="20"/>
          <w:szCs w:val="20"/>
        </w:rPr>
        <w:t xml:space="preserve"> obstarávateľom na základe podkladov získaných od </w:t>
      </w:r>
      <w:r w:rsidR="000A06FD">
        <w:rPr>
          <w:rFonts w:ascii="Arial" w:hAnsi="Arial" w:cs="Arial"/>
          <w:sz w:val="20"/>
          <w:szCs w:val="20"/>
        </w:rPr>
        <w:t>súčasného</w:t>
      </w:r>
      <w:r w:rsidRPr="00DE7D44">
        <w:rPr>
          <w:rFonts w:ascii="Arial" w:hAnsi="Arial" w:cs="Arial"/>
          <w:sz w:val="20"/>
          <w:szCs w:val="20"/>
        </w:rPr>
        <w:t xml:space="preserve"> dodávateľa. Predpokladané množstvo </w:t>
      </w:r>
      <w:r w:rsidR="000A06FD">
        <w:rPr>
          <w:rFonts w:ascii="Arial" w:hAnsi="Arial" w:cs="Arial"/>
          <w:sz w:val="20"/>
          <w:szCs w:val="20"/>
        </w:rPr>
        <w:t xml:space="preserve">odobratej elektrickej </w:t>
      </w:r>
      <w:r w:rsidRPr="00DE7D44">
        <w:rPr>
          <w:rFonts w:ascii="Arial" w:hAnsi="Arial" w:cs="Arial"/>
          <w:sz w:val="20"/>
          <w:szCs w:val="20"/>
        </w:rPr>
        <w:t>energie ročne: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BD09C3" w:rsidRPr="00DE7D44" w14:paraId="59D663FA" w14:textId="77777777" w:rsidTr="00215DA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956C18" w14:textId="77777777" w:rsidR="00BD09C3" w:rsidRPr="00DE7D44" w:rsidRDefault="00BD09C3" w:rsidP="0073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60A63E" w14:textId="083F5229" w:rsidR="00BD09C3" w:rsidRPr="00DE7D44" w:rsidRDefault="00733553" w:rsidP="0073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Predpokladaná r</w:t>
            </w: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očná spotreba v MWh</w:t>
            </w:r>
          </w:p>
        </w:tc>
      </w:tr>
      <w:tr w:rsidR="00BD09C3" w:rsidRPr="00DE7D44" w14:paraId="4620F87C" w14:textId="77777777" w:rsidTr="00215DA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44A" w14:textId="77777777" w:rsidR="00BD09C3" w:rsidRPr="00DE7D44" w:rsidRDefault="00BD09C3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95E3" w14:textId="2870F74A" w:rsidR="00BD09C3" w:rsidRPr="00DE7D44" w:rsidRDefault="00BD09C3" w:rsidP="007335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145</w:t>
            </w:r>
            <w:r w:rsidR="00B474E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548</w:t>
            </w:r>
          </w:p>
        </w:tc>
      </w:tr>
      <w:tr w:rsidR="00BD09C3" w:rsidRPr="00DE7D44" w14:paraId="6570A5D2" w14:textId="77777777" w:rsidTr="00215DA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90C6" w14:textId="77777777" w:rsidR="00BD09C3" w:rsidRPr="00DE7D44" w:rsidRDefault="00BD09C3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F312" w14:textId="4A5CCA61" w:rsidR="00BD09C3" w:rsidRPr="00DE7D44" w:rsidRDefault="00BD09C3" w:rsidP="007335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704C9C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49 58</w:t>
            </w:r>
            <w:r w:rsidR="00DF074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</w:tr>
      <w:tr w:rsidR="00BD09C3" w:rsidRPr="00DE7D44" w14:paraId="6639A936" w14:textId="77777777" w:rsidTr="00215DA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08B" w14:textId="77777777" w:rsidR="00BD09C3" w:rsidRPr="00DE7D44" w:rsidRDefault="00BD09C3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A382" w14:textId="28DC90A2" w:rsidR="00BD09C3" w:rsidRPr="00DE7D44" w:rsidRDefault="00BD09C3" w:rsidP="007335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B474E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50 </w:t>
            </w:r>
            <w:r w:rsidR="00DF074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800</w:t>
            </w:r>
          </w:p>
        </w:tc>
      </w:tr>
      <w:tr w:rsidR="00BD09C3" w:rsidRPr="00DE7D44" w14:paraId="0BB31ED0" w14:textId="77777777" w:rsidTr="00215DA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78A" w14:textId="77777777" w:rsidR="00BD09C3" w:rsidRPr="00DE7D44" w:rsidRDefault="00BD09C3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AB0" w14:textId="1B4C1290" w:rsidR="00BD09C3" w:rsidRPr="00DE7D44" w:rsidRDefault="00BD09C3" w:rsidP="007335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B474E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52 18</w:t>
            </w:r>
            <w:r w:rsidR="00DF074D"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</w:tr>
      <w:tr w:rsidR="00BD09C3" w:rsidRPr="00DE7D44" w14:paraId="2EE2EBE2" w14:textId="77777777" w:rsidTr="00215DA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B1C230" w14:textId="52EEFF4E" w:rsidR="00BD09C3" w:rsidRPr="00DE7D44" w:rsidRDefault="00733553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Predpokladaný odber elektrickej energie za celé z</w:t>
            </w:r>
            <w:r w:rsidR="00BD09C3"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mluvné obdobie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3A738" w14:textId="46418CA3" w:rsidR="00BD09C3" w:rsidRPr="00DE7D44" w:rsidRDefault="009E4A75" w:rsidP="007335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598 120</w:t>
            </w:r>
          </w:p>
        </w:tc>
      </w:tr>
    </w:tbl>
    <w:p w14:paraId="18DAEB99" w14:textId="0F566D01" w:rsidR="00F33AE5" w:rsidRPr="00652D9E" w:rsidRDefault="00652D9E" w:rsidP="00652D9E">
      <w:pPr>
        <w:pStyle w:val="Nadpis1"/>
        <w:numPr>
          <w:ilvl w:val="0"/>
          <w:numId w:val="12"/>
        </w:numPr>
        <w:spacing w:before="160" w:after="160" w:line="240" w:lineRule="auto"/>
        <w:ind w:left="0" w:hanging="567"/>
        <w:jc w:val="both"/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</w:pPr>
      <w:r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K</w:t>
      </w:r>
      <w:r w:rsidR="00F33AE5" w:rsidRPr="008630EC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ritérium</w:t>
      </w:r>
      <w:r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na vyhodnotenie ponúk</w:t>
      </w:r>
    </w:p>
    <w:p w14:paraId="230009BB" w14:textId="1437C338" w:rsidR="00B131F8" w:rsidRPr="00DE7D44" w:rsidRDefault="00215DA2" w:rsidP="00DE7D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uvažuje </w:t>
      </w:r>
      <w:r w:rsidR="0053711D">
        <w:rPr>
          <w:rFonts w:ascii="Arial" w:hAnsi="Arial" w:cs="Arial"/>
          <w:sz w:val="20"/>
          <w:szCs w:val="20"/>
        </w:rPr>
        <w:t>s k</w:t>
      </w:r>
      <w:r w:rsidR="00B131F8" w:rsidRPr="00DE7D44">
        <w:rPr>
          <w:rFonts w:ascii="Arial" w:hAnsi="Arial" w:cs="Arial"/>
          <w:sz w:val="20"/>
          <w:szCs w:val="20"/>
        </w:rPr>
        <w:t>ritériom na vyhodnotenie ponúk</w:t>
      </w:r>
      <w:r w:rsidR="0053711D">
        <w:rPr>
          <w:rFonts w:ascii="Arial" w:hAnsi="Arial" w:cs="Arial"/>
          <w:sz w:val="20"/>
          <w:szCs w:val="20"/>
        </w:rPr>
        <w:t xml:space="preserve">, ktorým bude </w:t>
      </w:r>
      <w:r w:rsidR="00B131F8" w:rsidRPr="00BC33FC">
        <w:rPr>
          <w:rFonts w:ascii="Arial" w:hAnsi="Arial" w:cs="Arial"/>
          <w:b/>
          <w:bCs/>
          <w:sz w:val="20"/>
          <w:szCs w:val="20"/>
        </w:rPr>
        <w:t>najnižšia celková cena aditívu</w:t>
      </w:r>
      <w:r w:rsidR="00743135" w:rsidRPr="00BC33FC">
        <w:rPr>
          <w:rFonts w:ascii="Arial" w:hAnsi="Arial" w:cs="Arial"/>
          <w:b/>
          <w:bCs/>
          <w:sz w:val="20"/>
          <w:szCs w:val="20"/>
        </w:rPr>
        <w:t xml:space="preserve"> forward</w:t>
      </w:r>
      <w:r w:rsidR="00B131F8" w:rsidRPr="00BC33FC">
        <w:rPr>
          <w:rFonts w:ascii="Arial" w:hAnsi="Arial" w:cs="Arial"/>
          <w:b/>
          <w:bCs/>
          <w:sz w:val="20"/>
          <w:szCs w:val="20"/>
        </w:rPr>
        <w:t xml:space="preserve"> v EUR/MWh</w:t>
      </w:r>
      <w:r w:rsidR="00B131F8" w:rsidRPr="00DE7D44">
        <w:rPr>
          <w:rFonts w:ascii="Arial" w:hAnsi="Arial" w:cs="Arial"/>
          <w:sz w:val="20"/>
          <w:szCs w:val="20"/>
        </w:rPr>
        <w:t>, t. j. absolútny príplatok k referenčnej cene elektrickej energie za všetky odberné miesta spolu za dodávku elektrickej energie vyjadrená v EUR bez DPH, bez spotrebnej dane, a bez ďalších poplatkov stanovených ÚRSO, uvedená uchádzačom</w:t>
      </w:r>
      <w:r w:rsidR="00C0164D" w:rsidRPr="00DE7D44">
        <w:rPr>
          <w:rFonts w:ascii="Arial" w:hAnsi="Arial" w:cs="Arial"/>
          <w:sz w:val="20"/>
          <w:szCs w:val="20"/>
        </w:rPr>
        <w:t xml:space="preserve"> </w:t>
      </w:r>
      <w:r w:rsidR="00B131F8" w:rsidRPr="00DE7D44">
        <w:rPr>
          <w:rFonts w:ascii="Arial" w:hAnsi="Arial" w:cs="Arial"/>
          <w:sz w:val="20"/>
          <w:szCs w:val="20"/>
        </w:rPr>
        <w:t xml:space="preserve">v návrhu na plnenie kritérií. Úspešným uchádzačom sa stane uchádzač, ktorého celková cena bude v porovnaní s ponukami ostatných uchádzačov najnižšia. </w:t>
      </w:r>
    </w:p>
    <w:p w14:paraId="372C4E96" w14:textId="4C749318" w:rsidR="00A709A6" w:rsidRPr="00DE7D44" w:rsidRDefault="00B131F8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Uchádzač vo svojej ponuke predloží výšku aditívu t. j. absolútny príplatok k referenčnej cene, a to zvlášť pre každú skupinu </w:t>
      </w:r>
      <w:r w:rsidR="000C6583">
        <w:rPr>
          <w:rFonts w:ascii="Arial" w:hAnsi="Arial" w:cs="Arial"/>
          <w:sz w:val="20"/>
          <w:szCs w:val="20"/>
        </w:rPr>
        <w:t xml:space="preserve">odberateľov </w:t>
      </w:r>
      <w:r w:rsidRPr="00DE7D44">
        <w:rPr>
          <w:rFonts w:ascii="Arial" w:hAnsi="Arial" w:cs="Arial"/>
          <w:sz w:val="20"/>
          <w:szCs w:val="20"/>
        </w:rPr>
        <w:t xml:space="preserve">v EUR/MWh zaokrúhlenú na dve desatinné miesta nasledovne: 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329"/>
        <w:gridCol w:w="2693"/>
        <w:gridCol w:w="2126"/>
      </w:tblGrid>
      <w:tr w:rsidR="002F4630" w:rsidRPr="00DE7D44" w14:paraId="459347B6" w14:textId="77777777" w:rsidTr="0022120B">
        <w:trPr>
          <w:trHeight w:val="9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A25CB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Skupina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8CEB7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Predpokladaný objem odberu za zmluvné obdobie 2025-2028 (M)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F0098" w14:textId="21C4361B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Výška aditívu</w:t>
            </w:r>
            <w:r w:rsidR="00743135"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 forward</w:t>
            </w: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 (</w:t>
            </w:r>
            <w:proofErr w:type="spellStart"/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Ad</w:t>
            </w:r>
            <w:r w:rsidR="006564C4"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F</w:t>
            </w:r>
            <w:proofErr w:type="spellEnd"/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) cena v EUR/MWh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6B74F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Cena aditívu celkom za predpokladaný objem odberu</w:t>
            </w:r>
          </w:p>
        </w:tc>
      </w:tr>
      <w:tr w:rsidR="002F4630" w:rsidRPr="00DE7D44" w14:paraId="5933B7F4" w14:textId="77777777" w:rsidTr="0022120B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E41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4FC" w14:textId="77777777" w:rsidR="002F4630" w:rsidRPr="00DE7D44" w:rsidRDefault="002F4630" w:rsidP="00221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54 350 MWh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B6D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350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2F4630" w:rsidRPr="00DE7D44" w14:paraId="4F8AAB39" w14:textId="77777777" w:rsidTr="0022120B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E5B5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0F8" w14:textId="31BAAFE6" w:rsidR="002F4630" w:rsidRPr="00DE7D44" w:rsidRDefault="002F4630" w:rsidP="00221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3 300 MWh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71F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BF9D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2F4630" w:rsidRPr="00DE7D44" w14:paraId="5F7FCF29" w14:textId="77777777" w:rsidTr="0022120B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499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1B9" w14:textId="77777777" w:rsidR="002F4630" w:rsidRPr="00DE7D44" w:rsidRDefault="002F4630" w:rsidP="00221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55 700 MWh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FC45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02C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2F4630" w:rsidRPr="00DE7D44" w14:paraId="369E9626" w14:textId="77777777" w:rsidTr="0022120B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41C5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F4C" w14:textId="77777777" w:rsidR="002F4630" w:rsidRPr="00DE7D44" w:rsidRDefault="002F4630" w:rsidP="00221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193 000 MWh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EA15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FA9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2F4630" w:rsidRPr="00DE7D44" w14:paraId="6DFF02BA" w14:textId="77777777" w:rsidTr="0022120B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FE1A" w14:textId="77777777" w:rsidR="002F4630" w:rsidRPr="00DE7D44" w:rsidRDefault="002F4630" w:rsidP="006B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2488" w14:textId="77777777" w:rsidR="002F4630" w:rsidRPr="00DE7D44" w:rsidRDefault="002F4630" w:rsidP="00221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235 000 MWh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D42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498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2F4630" w:rsidRPr="00DE7D44" w14:paraId="388A3D01" w14:textId="77777777" w:rsidTr="003B5AA8">
        <w:trPr>
          <w:trHeight w:val="300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88EE8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Celková cena aditívu za všetky odberné miesta spolu (</w:t>
            </w:r>
            <w:proofErr w:type="spellStart"/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CAd</w:t>
            </w:r>
            <w:proofErr w:type="spellEnd"/>
            <w:r w:rsidRPr="00DE7D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4581" w14:textId="77777777" w:rsidR="002F4630" w:rsidRPr="00DE7D44" w:rsidRDefault="002F4630" w:rsidP="00DE7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E7D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</w:tbl>
    <w:p w14:paraId="1F0FFE17" w14:textId="1A58E140" w:rsidR="000E12D5" w:rsidRPr="00016BF4" w:rsidRDefault="00232C7D" w:rsidP="00016BF4">
      <w:pPr>
        <w:spacing w:before="1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6BF4">
        <w:rPr>
          <w:rFonts w:ascii="Arial" w:hAnsi="Arial" w:cs="Arial"/>
          <w:b/>
          <w:bCs/>
          <w:sz w:val="20"/>
          <w:szCs w:val="20"/>
        </w:rPr>
        <w:t>Vzorec výpočtu</w:t>
      </w:r>
      <w:r w:rsidR="004E29DF" w:rsidRPr="00016BF4">
        <w:rPr>
          <w:rFonts w:ascii="Arial" w:hAnsi="Arial" w:cs="Arial"/>
          <w:b/>
          <w:bCs/>
          <w:sz w:val="20"/>
          <w:szCs w:val="20"/>
        </w:rPr>
        <w:t xml:space="preserve"> celkovej ceny aditívu</w:t>
      </w:r>
      <w:r w:rsidRPr="00016BF4">
        <w:rPr>
          <w:rFonts w:ascii="Arial" w:hAnsi="Arial" w:cs="Arial"/>
          <w:b/>
          <w:bCs/>
          <w:sz w:val="20"/>
          <w:szCs w:val="20"/>
        </w:rPr>
        <w:t>:</w:t>
      </w:r>
    </w:p>
    <w:p w14:paraId="4A689CA4" w14:textId="2FAB0FAC" w:rsidR="00F85401" w:rsidRPr="006E3279" w:rsidRDefault="00E74013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E3279">
        <w:rPr>
          <w:rFonts w:ascii="Arial" w:hAnsi="Arial" w:cs="Arial"/>
          <w:b/>
          <w:bCs/>
          <w:sz w:val="20"/>
          <w:szCs w:val="20"/>
        </w:rPr>
        <w:t>CAd</w:t>
      </w:r>
      <w:proofErr w:type="spellEnd"/>
      <w:r w:rsidRPr="006E3279">
        <w:rPr>
          <w:rFonts w:ascii="Arial" w:hAnsi="Arial" w:cs="Arial"/>
          <w:b/>
          <w:bCs/>
          <w:sz w:val="20"/>
          <w:szCs w:val="20"/>
        </w:rPr>
        <w:t>=(M1*Ad</w:t>
      </w:r>
      <w:r w:rsidR="006564C4" w:rsidRPr="006E3279">
        <w:rPr>
          <w:rFonts w:ascii="Arial" w:hAnsi="Arial" w:cs="Arial"/>
          <w:b/>
          <w:bCs/>
          <w:sz w:val="20"/>
          <w:szCs w:val="20"/>
        </w:rPr>
        <w:t>F</w:t>
      </w:r>
      <w:r w:rsidRPr="006E3279">
        <w:rPr>
          <w:rFonts w:ascii="Arial" w:hAnsi="Arial" w:cs="Arial"/>
          <w:b/>
          <w:bCs/>
          <w:sz w:val="20"/>
          <w:szCs w:val="20"/>
        </w:rPr>
        <w:t>1)+(M2*Ad</w:t>
      </w:r>
      <w:r w:rsidR="006564C4" w:rsidRPr="006E3279">
        <w:rPr>
          <w:rFonts w:ascii="Arial" w:hAnsi="Arial" w:cs="Arial"/>
          <w:b/>
          <w:bCs/>
          <w:sz w:val="20"/>
          <w:szCs w:val="20"/>
        </w:rPr>
        <w:t>F</w:t>
      </w:r>
      <w:r w:rsidRPr="006E3279">
        <w:rPr>
          <w:rFonts w:ascii="Arial" w:hAnsi="Arial" w:cs="Arial"/>
          <w:b/>
          <w:bCs/>
          <w:sz w:val="20"/>
          <w:szCs w:val="20"/>
        </w:rPr>
        <w:t>2)+(M3*Ad</w:t>
      </w:r>
      <w:r w:rsidR="006564C4" w:rsidRPr="006E3279">
        <w:rPr>
          <w:rFonts w:ascii="Arial" w:hAnsi="Arial" w:cs="Arial"/>
          <w:b/>
          <w:bCs/>
          <w:sz w:val="20"/>
          <w:szCs w:val="20"/>
        </w:rPr>
        <w:t>F</w:t>
      </w:r>
      <w:r w:rsidRPr="006E3279">
        <w:rPr>
          <w:rFonts w:ascii="Arial" w:hAnsi="Arial" w:cs="Arial"/>
          <w:b/>
          <w:bCs/>
          <w:sz w:val="20"/>
          <w:szCs w:val="20"/>
        </w:rPr>
        <w:t>3)+(M4*Ad</w:t>
      </w:r>
      <w:r w:rsidR="006564C4" w:rsidRPr="006E3279">
        <w:rPr>
          <w:rFonts w:ascii="Arial" w:hAnsi="Arial" w:cs="Arial"/>
          <w:b/>
          <w:bCs/>
          <w:sz w:val="20"/>
          <w:szCs w:val="20"/>
        </w:rPr>
        <w:t>F</w:t>
      </w:r>
      <w:r w:rsidRPr="006E3279">
        <w:rPr>
          <w:rFonts w:ascii="Arial" w:hAnsi="Arial" w:cs="Arial"/>
          <w:b/>
          <w:bCs/>
          <w:sz w:val="20"/>
          <w:szCs w:val="20"/>
        </w:rPr>
        <w:t>4)+(M5*Ad</w:t>
      </w:r>
      <w:r w:rsidR="006564C4" w:rsidRPr="006E3279">
        <w:rPr>
          <w:rFonts w:ascii="Arial" w:hAnsi="Arial" w:cs="Arial"/>
          <w:b/>
          <w:bCs/>
          <w:sz w:val="20"/>
          <w:szCs w:val="20"/>
        </w:rPr>
        <w:t>F</w:t>
      </w:r>
      <w:r w:rsidRPr="006E3279">
        <w:rPr>
          <w:rFonts w:ascii="Arial" w:hAnsi="Arial" w:cs="Arial"/>
          <w:b/>
          <w:bCs/>
          <w:sz w:val="20"/>
          <w:szCs w:val="20"/>
        </w:rPr>
        <w:t>5)</w:t>
      </w:r>
    </w:p>
    <w:p w14:paraId="70227CD0" w14:textId="508510DA" w:rsidR="00663557" w:rsidRPr="00016BF4" w:rsidRDefault="002F4133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16BF4">
        <w:rPr>
          <w:rFonts w:ascii="Arial" w:hAnsi="Arial" w:cs="Arial"/>
          <w:b/>
          <w:bCs/>
          <w:sz w:val="20"/>
          <w:szCs w:val="20"/>
        </w:rPr>
        <w:t>Návrh spôsobu nákupu</w:t>
      </w:r>
      <w:r w:rsidR="00016BF4">
        <w:rPr>
          <w:rFonts w:ascii="Arial" w:hAnsi="Arial" w:cs="Arial"/>
          <w:b/>
          <w:bCs/>
          <w:sz w:val="20"/>
          <w:szCs w:val="20"/>
        </w:rPr>
        <w:t>:</w:t>
      </w:r>
    </w:p>
    <w:p w14:paraId="4204D092" w14:textId="105D51D0" w:rsidR="009C7BF1" w:rsidRPr="00DE7D44" w:rsidRDefault="0067567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Každá zo skupín odberateľov m</w:t>
      </w:r>
      <w:r w:rsidR="00D0481B" w:rsidRPr="00DE7D44">
        <w:rPr>
          <w:rFonts w:ascii="Arial" w:hAnsi="Arial" w:cs="Arial"/>
          <w:sz w:val="20"/>
          <w:szCs w:val="20"/>
        </w:rPr>
        <w:t xml:space="preserve">á </w:t>
      </w:r>
      <w:r w:rsidR="000A1DE5" w:rsidRPr="00DE7D44">
        <w:rPr>
          <w:rFonts w:ascii="Arial" w:hAnsi="Arial" w:cs="Arial"/>
          <w:sz w:val="20"/>
          <w:szCs w:val="20"/>
        </w:rPr>
        <w:t>najneskôr do 14.</w:t>
      </w:r>
      <w:r w:rsidR="00800DED" w:rsidRPr="00DE7D44">
        <w:rPr>
          <w:rFonts w:ascii="Arial" w:hAnsi="Arial" w:cs="Arial"/>
          <w:sz w:val="20"/>
          <w:szCs w:val="20"/>
        </w:rPr>
        <w:t xml:space="preserve">12 možnosť </w:t>
      </w:r>
      <w:r w:rsidR="001D4F53" w:rsidRPr="00DE7D44">
        <w:rPr>
          <w:rFonts w:ascii="Arial" w:hAnsi="Arial" w:cs="Arial"/>
          <w:sz w:val="20"/>
          <w:szCs w:val="20"/>
        </w:rPr>
        <w:t>požiadať dodávateľa o zmenu spôsobu nákupu elektriny na nadchádzajúci rok, pri čom má</w:t>
      </w:r>
      <w:r w:rsidR="000A1DE5" w:rsidRPr="00DE7D44">
        <w:rPr>
          <w:rFonts w:ascii="Arial" w:hAnsi="Arial" w:cs="Arial"/>
          <w:sz w:val="20"/>
          <w:szCs w:val="20"/>
        </w:rPr>
        <w:t xml:space="preserve"> na výber</w:t>
      </w:r>
      <w:r w:rsidRPr="00DE7D44">
        <w:rPr>
          <w:rFonts w:ascii="Arial" w:hAnsi="Arial" w:cs="Arial"/>
          <w:sz w:val="20"/>
          <w:szCs w:val="20"/>
        </w:rPr>
        <w:t xml:space="preserve"> </w:t>
      </w:r>
      <w:r w:rsidR="007C67D8" w:rsidRPr="00DE7D44">
        <w:rPr>
          <w:rFonts w:ascii="Arial" w:hAnsi="Arial" w:cs="Arial"/>
          <w:sz w:val="20"/>
          <w:szCs w:val="20"/>
        </w:rPr>
        <w:t xml:space="preserve">z </w:t>
      </w:r>
      <w:r w:rsidRPr="00DE7D44">
        <w:rPr>
          <w:rFonts w:ascii="Arial" w:hAnsi="Arial" w:cs="Arial"/>
          <w:sz w:val="20"/>
          <w:szCs w:val="20"/>
        </w:rPr>
        <w:t>3 možnosti</w:t>
      </w:r>
      <w:r w:rsidR="008C5B6B" w:rsidRPr="00DE7D44">
        <w:rPr>
          <w:rFonts w:ascii="Arial" w:hAnsi="Arial" w:cs="Arial"/>
          <w:sz w:val="20"/>
          <w:szCs w:val="20"/>
        </w:rPr>
        <w:t xml:space="preserve"> spôsobu nákupu:</w:t>
      </w:r>
    </w:p>
    <w:p w14:paraId="490FE84D" w14:textId="184E5853" w:rsidR="008C5B6B" w:rsidRPr="00DE7D44" w:rsidRDefault="00A54D8E" w:rsidP="000E3A69">
      <w:pPr>
        <w:pStyle w:val="Odsekzoznamu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Nákup predpokladaného</w:t>
      </w:r>
      <w:r w:rsidR="000A1DE5" w:rsidRPr="00DE7D44">
        <w:rPr>
          <w:rFonts w:ascii="Arial" w:hAnsi="Arial" w:cs="Arial"/>
          <w:sz w:val="20"/>
          <w:szCs w:val="20"/>
        </w:rPr>
        <w:t xml:space="preserve"> </w:t>
      </w:r>
      <w:r w:rsidRPr="00DE7D44">
        <w:rPr>
          <w:rFonts w:ascii="Arial" w:hAnsi="Arial" w:cs="Arial"/>
          <w:sz w:val="20"/>
          <w:szCs w:val="20"/>
        </w:rPr>
        <w:t>množstva</w:t>
      </w:r>
      <w:r w:rsidR="00BF58CA" w:rsidRPr="00DE7D44">
        <w:rPr>
          <w:rFonts w:ascii="Arial" w:hAnsi="Arial" w:cs="Arial"/>
          <w:sz w:val="20"/>
          <w:szCs w:val="20"/>
        </w:rPr>
        <w:t xml:space="preserve"> s</w:t>
      </w:r>
      <w:r w:rsidR="00681358" w:rsidRPr="00DE7D44">
        <w:rPr>
          <w:rFonts w:ascii="Arial" w:hAnsi="Arial" w:cs="Arial"/>
          <w:sz w:val="20"/>
          <w:szCs w:val="20"/>
        </w:rPr>
        <w:t> </w:t>
      </w:r>
      <w:r w:rsidR="00681358" w:rsidRPr="00846AAF">
        <w:rPr>
          <w:rFonts w:ascii="Arial" w:hAnsi="Arial" w:cs="Arial"/>
          <w:sz w:val="20"/>
          <w:szCs w:val="20"/>
        </w:rPr>
        <w:t>pásmom flexibility 10%</w:t>
      </w:r>
    </w:p>
    <w:p w14:paraId="3FB7F359" w14:textId="4BD7290B" w:rsidR="00681358" w:rsidRPr="00DE7D44" w:rsidRDefault="00F039D2" w:rsidP="000E3A69">
      <w:pPr>
        <w:pStyle w:val="Odsekzoznamu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Nákup na krátkodobom trhu </w:t>
      </w:r>
      <w:r w:rsidR="0011533F" w:rsidRPr="00DE7D44">
        <w:rPr>
          <w:rFonts w:ascii="Arial" w:hAnsi="Arial" w:cs="Arial"/>
          <w:sz w:val="20"/>
          <w:szCs w:val="20"/>
        </w:rPr>
        <w:t>s elektrinou</w:t>
      </w:r>
    </w:p>
    <w:p w14:paraId="58CAED00" w14:textId="109F2D04" w:rsidR="009705B6" w:rsidRPr="00DE7D44" w:rsidRDefault="007772C9" w:rsidP="000E3A69">
      <w:pPr>
        <w:pStyle w:val="Odsekzoznamu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Nákup predpokladaného množstva </w:t>
      </w:r>
      <w:r w:rsidR="00894993" w:rsidRPr="00DE7D44">
        <w:rPr>
          <w:rFonts w:ascii="Arial" w:hAnsi="Arial" w:cs="Arial"/>
          <w:sz w:val="20"/>
          <w:szCs w:val="20"/>
        </w:rPr>
        <w:t xml:space="preserve">kombinovaným spôsobom: </w:t>
      </w:r>
      <w:r w:rsidR="00006A49" w:rsidRPr="00DE7D44">
        <w:rPr>
          <w:rFonts w:ascii="Arial" w:hAnsi="Arial" w:cs="Arial"/>
          <w:sz w:val="20"/>
          <w:szCs w:val="20"/>
        </w:rPr>
        <w:t>základné pásm</w:t>
      </w:r>
      <w:r w:rsidR="00240147" w:rsidRPr="00DE7D44">
        <w:rPr>
          <w:rFonts w:ascii="Arial" w:hAnsi="Arial" w:cs="Arial"/>
          <w:sz w:val="20"/>
          <w:szCs w:val="20"/>
        </w:rPr>
        <w:t>o</w:t>
      </w:r>
      <w:r w:rsidR="00006A49" w:rsidRPr="00DE7D44">
        <w:rPr>
          <w:rFonts w:ascii="Arial" w:hAnsi="Arial" w:cs="Arial"/>
          <w:sz w:val="20"/>
          <w:szCs w:val="20"/>
        </w:rPr>
        <w:t xml:space="preserve"> (FORWARD) s bilancovan</w:t>
      </w:r>
      <w:r w:rsidR="00240147" w:rsidRPr="00DE7D44">
        <w:rPr>
          <w:rFonts w:ascii="Arial" w:hAnsi="Arial" w:cs="Arial"/>
          <w:sz w:val="20"/>
          <w:szCs w:val="20"/>
        </w:rPr>
        <w:t>í</w:t>
      </w:r>
      <w:r w:rsidR="00006A49" w:rsidRPr="00DE7D44">
        <w:rPr>
          <w:rFonts w:ascii="Arial" w:hAnsi="Arial" w:cs="Arial"/>
          <w:sz w:val="20"/>
          <w:szCs w:val="20"/>
        </w:rPr>
        <w:t>m zvyšného objemu na krátkodobom trhu</w:t>
      </w:r>
      <w:r w:rsidR="00F60CD9" w:rsidRPr="00DE7D44">
        <w:rPr>
          <w:rFonts w:ascii="Arial" w:hAnsi="Arial" w:cs="Arial"/>
          <w:sz w:val="20"/>
          <w:szCs w:val="20"/>
        </w:rPr>
        <w:t xml:space="preserve"> (SPOT)</w:t>
      </w:r>
    </w:p>
    <w:p w14:paraId="1F5BCC18" w14:textId="67186284" w:rsidR="00C72E0B" w:rsidRPr="00DE7D44" w:rsidRDefault="00AB5CC5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Pre všetky spôsoby nákupu platí, že odberné miesta s minimálnym trvalým nemeraným odberom, kde nie je technicky a ekonomicky možné odber elektriny merať určeným meradlom prevádzkovateľa, </w:t>
      </w:r>
      <w:r w:rsidR="00A07E38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>je mesačný poplatok za elektrickú energiu stanovený za každých začatých 10 W inštalovaného príkonu cenou 0,</w:t>
      </w:r>
      <w:r w:rsidR="00B93D4D" w:rsidRPr="00DE7D44">
        <w:rPr>
          <w:rFonts w:ascii="Arial" w:hAnsi="Arial" w:cs="Arial"/>
          <w:sz w:val="20"/>
          <w:szCs w:val="20"/>
        </w:rPr>
        <w:t>5</w:t>
      </w:r>
      <w:r w:rsidRPr="00DE7D44">
        <w:rPr>
          <w:rFonts w:ascii="Arial" w:hAnsi="Arial" w:cs="Arial"/>
          <w:sz w:val="20"/>
          <w:szCs w:val="20"/>
        </w:rPr>
        <w:t>0 €/10W bez DPH.</w:t>
      </w:r>
    </w:p>
    <w:p w14:paraId="4C46ABD9" w14:textId="37925854" w:rsidR="00AF7823" w:rsidRPr="00FA6D35" w:rsidRDefault="00071E2D" w:rsidP="00FA6D35">
      <w:pPr>
        <w:pStyle w:val="Nadpis1"/>
        <w:numPr>
          <w:ilvl w:val="0"/>
          <w:numId w:val="12"/>
        </w:numPr>
        <w:spacing w:before="160" w:after="160" w:line="240" w:lineRule="auto"/>
        <w:ind w:left="0" w:hanging="567"/>
        <w:jc w:val="both"/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</w:pPr>
      <w:r w:rsidRPr="00FA6D3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M</w:t>
      </w:r>
      <w:r w:rsidR="00FA6D3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ožnosť</w:t>
      </w:r>
      <w:r w:rsidRPr="00FA6D3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1: </w:t>
      </w:r>
      <w:r w:rsidR="00C72E0B" w:rsidRPr="00FA6D35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Pásmo flexibility</w:t>
      </w:r>
    </w:p>
    <w:p w14:paraId="597C763C" w14:textId="4321CEAF" w:rsidR="00AF7823" w:rsidRPr="00DE7D44" w:rsidRDefault="00865A54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V prípade výberu možnosti č. 1 si s</w:t>
      </w:r>
      <w:r w:rsidR="009969CC" w:rsidRPr="00DE7D44">
        <w:rPr>
          <w:rFonts w:ascii="Arial" w:hAnsi="Arial" w:cs="Arial"/>
          <w:sz w:val="20"/>
          <w:szCs w:val="20"/>
        </w:rPr>
        <w:t xml:space="preserve">kupina odberateľov </w:t>
      </w:r>
      <w:r w:rsidRPr="00DE7D44">
        <w:rPr>
          <w:rFonts w:ascii="Arial" w:hAnsi="Arial" w:cs="Arial"/>
          <w:sz w:val="20"/>
          <w:szCs w:val="20"/>
        </w:rPr>
        <w:t>každoročne do 14.12.</w:t>
      </w:r>
      <w:r w:rsidR="009969CC" w:rsidRPr="00DE7D44">
        <w:rPr>
          <w:rFonts w:ascii="Arial" w:hAnsi="Arial" w:cs="Arial"/>
          <w:sz w:val="20"/>
          <w:szCs w:val="20"/>
        </w:rPr>
        <w:t xml:space="preserve"> </w:t>
      </w:r>
      <w:r w:rsidRPr="00DE7D44">
        <w:rPr>
          <w:rFonts w:ascii="Arial" w:hAnsi="Arial" w:cs="Arial"/>
          <w:sz w:val="20"/>
          <w:szCs w:val="20"/>
        </w:rPr>
        <w:t>dohodne s dodávateľom</w:t>
      </w:r>
      <w:r w:rsidR="00E714F5" w:rsidRPr="00DE7D44">
        <w:rPr>
          <w:rFonts w:ascii="Arial" w:hAnsi="Arial" w:cs="Arial"/>
          <w:sz w:val="20"/>
          <w:szCs w:val="20"/>
        </w:rPr>
        <w:t xml:space="preserve"> </w:t>
      </w:r>
      <w:r w:rsidR="008A4927" w:rsidRPr="00DE7D44">
        <w:rPr>
          <w:rFonts w:ascii="Arial" w:hAnsi="Arial" w:cs="Arial"/>
          <w:sz w:val="20"/>
          <w:szCs w:val="20"/>
        </w:rPr>
        <w:t>predpokladané</w:t>
      </w:r>
      <w:r w:rsidR="00E714F5" w:rsidRPr="00DE7D44">
        <w:rPr>
          <w:rFonts w:ascii="Arial" w:hAnsi="Arial" w:cs="Arial"/>
          <w:sz w:val="20"/>
          <w:szCs w:val="20"/>
        </w:rPr>
        <w:t xml:space="preserve"> ročné množstvo elektriny.</w:t>
      </w:r>
    </w:p>
    <w:p w14:paraId="4064771D" w14:textId="4792C3E7" w:rsidR="00E714F5" w:rsidRPr="00DE7D44" w:rsidRDefault="005C7CC4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Dodávateľ si nebude účtovať žiadne sankcie za nedodržanie (prekročenie, resp. nedočerpanie) zmluvne dohodnutého množstva pri zachovaní tolerancie +/-</w:t>
      </w:r>
      <w:r w:rsidR="00525D2C">
        <w:rPr>
          <w:rFonts w:ascii="Arial" w:hAnsi="Arial" w:cs="Arial"/>
          <w:sz w:val="20"/>
          <w:szCs w:val="20"/>
        </w:rPr>
        <w:t xml:space="preserve"> </w:t>
      </w:r>
      <w:r w:rsidRPr="00DE7D44">
        <w:rPr>
          <w:rFonts w:ascii="Arial" w:hAnsi="Arial" w:cs="Arial"/>
          <w:sz w:val="20"/>
          <w:szCs w:val="20"/>
        </w:rPr>
        <w:t>10% z</w:t>
      </w:r>
      <w:r w:rsidR="008A4927" w:rsidRPr="00DE7D44">
        <w:rPr>
          <w:rFonts w:ascii="Arial" w:hAnsi="Arial" w:cs="Arial"/>
          <w:sz w:val="20"/>
          <w:szCs w:val="20"/>
        </w:rPr>
        <w:t xml:space="preserve"> predpokladaného</w:t>
      </w:r>
      <w:r w:rsidRPr="00DE7D44">
        <w:rPr>
          <w:rFonts w:ascii="Arial" w:hAnsi="Arial" w:cs="Arial"/>
          <w:sz w:val="20"/>
          <w:szCs w:val="20"/>
        </w:rPr>
        <w:t xml:space="preserve"> ročného množstva súhrnne. Cena elektrickej energie je nemenná pri </w:t>
      </w:r>
      <w:r w:rsidR="008E007F" w:rsidRPr="00DE7D44">
        <w:rPr>
          <w:rFonts w:ascii="Arial" w:hAnsi="Arial" w:cs="Arial"/>
          <w:sz w:val="20"/>
          <w:szCs w:val="20"/>
        </w:rPr>
        <w:t>prekročení</w:t>
      </w:r>
      <w:r w:rsidR="008A4927" w:rsidRPr="00DE7D44">
        <w:rPr>
          <w:rFonts w:ascii="Arial" w:hAnsi="Arial" w:cs="Arial"/>
          <w:sz w:val="20"/>
          <w:szCs w:val="20"/>
        </w:rPr>
        <w:t>,</w:t>
      </w:r>
      <w:r w:rsidRPr="00DE7D44">
        <w:rPr>
          <w:rFonts w:ascii="Arial" w:hAnsi="Arial" w:cs="Arial"/>
          <w:sz w:val="20"/>
          <w:szCs w:val="20"/>
        </w:rPr>
        <w:t xml:space="preserve"> resp. </w:t>
      </w:r>
      <w:r w:rsidR="008E007F" w:rsidRPr="00DE7D44">
        <w:rPr>
          <w:rFonts w:ascii="Arial" w:hAnsi="Arial" w:cs="Arial"/>
          <w:sz w:val="20"/>
          <w:szCs w:val="20"/>
        </w:rPr>
        <w:t>nedočerpaní</w:t>
      </w:r>
      <w:r w:rsidRPr="00DE7D44">
        <w:rPr>
          <w:rFonts w:ascii="Arial" w:hAnsi="Arial" w:cs="Arial"/>
          <w:sz w:val="20"/>
          <w:szCs w:val="20"/>
        </w:rPr>
        <w:t xml:space="preserve"> </w:t>
      </w:r>
      <w:r w:rsidR="008A4927" w:rsidRPr="00DE7D44">
        <w:rPr>
          <w:rFonts w:ascii="Arial" w:hAnsi="Arial" w:cs="Arial"/>
          <w:sz w:val="20"/>
          <w:szCs w:val="20"/>
        </w:rPr>
        <w:t>predpokladaného</w:t>
      </w:r>
      <w:r w:rsidR="008E007F" w:rsidRPr="00DE7D44">
        <w:rPr>
          <w:rFonts w:ascii="Arial" w:hAnsi="Arial" w:cs="Arial"/>
          <w:sz w:val="20"/>
          <w:szCs w:val="20"/>
        </w:rPr>
        <w:t xml:space="preserve"> ročného </w:t>
      </w:r>
      <w:r w:rsidRPr="00DE7D44">
        <w:rPr>
          <w:rFonts w:ascii="Arial" w:hAnsi="Arial" w:cs="Arial"/>
          <w:sz w:val="20"/>
          <w:szCs w:val="20"/>
        </w:rPr>
        <w:t>množstva pri zachovaní tolerancie +</w:t>
      </w:r>
      <w:r w:rsidR="008A4927" w:rsidRPr="00DE7D44">
        <w:rPr>
          <w:rFonts w:ascii="Arial" w:hAnsi="Arial" w:cs="Arial"/>
          <w:sz w:val="20"/>
          <w:szCs w:val="20"/>
        </w:rPr>
        <w:t xml:space="preserve">/- </w:t>
      </w:r>
      <w:r w:rsidRPr="00DE7D44">
        <w:rPr>
          <w:rFonts w:ascii="Arial" w:hAnsi="Arial" w:cs="Arial"/>
          <w:sz w:val="20"/>
          <w:szCs w:val="20"/>
        </w:rPr>
        <w:t>10%.</w:t>
      </w:r>
    </w:p>
    <w:p w14:paraId="5C23104E" w14:textId="178403A2" w:rsidR="00023DF2" w:rsidRPr="00DE7D44" w:rsidRDefault="00023DF2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Jednotková cena silovej zložky elektriny bude </w:t>
      </w:r>
      <w:r w:rsidR="008F4256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>odávateľom vypočítaná podľa nasledovného vzorca:</w:t>
      </w:r>
    </w:p>
    <w:p w14:paraId="71D40751" w14:textId="4DE33DBC" w:rsidR="00EF2E99" w:rsidRPr="00525D2C" w:rsidRDefault="00EF2E99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5D2C">
        <w:rPr>
          <w:rFonts w:ascii="Arial" w:hAnsi="Arial" w:cs="Arial"/>
          <w:b/>
          <w:bCs/>
          <w:sz w:val="20"/>
          <w:szCs w:val="20"/>
        </w:rPr>
        <w:t>JCE</w:t>
      </w:r>
      <w:r w:rsidR="00023DF2" w:rsidRPr="00525D2C">
        <w:rPr>
          <w:rFonts w:ascii="Arial" w:hAnsi="Arial" w:cs="Arial"/>
          <w:b/>
          <w:bCs/>
          <w:sz w:val="20"/>
          <w:szCs w:val="20"/>
        </w:rPr>
        <w:t xml:space="preserve"> = PXE</w:t>
      </w:r>
      <w:r w:rsidR="003B5852" w:rsidRPr="00525D2C">
        <w:rPr>
          <w:rFonts w:ascii="Arial" w:hAnsi="Arial" w:cs="Arial"/>
          <w:b/>
          <w:bCs/>
          <w:sz w:val="20"/>
          <w:szCs w:val="20"/>
        </w:rPr>
        <w:t>P</w:t>
      </w:r>
      <w:r w:rsidR="00D15596" w:rsidRPr="00525D2C">
        <w:rPr>
          <w:rFonts w:ascii="Arial" w:hAnsi="Arial" w:cs="Arial"/>
          <w:b/>
          <w:bCs/>
          <w:sz w:val="20"/>
          <w:szCs w:val="20"/>
        </w:rPr>
        <w:t xml:space="preserve"> + </w:t>
      </w:r>
      <w:proofErr w:type="spellStart"/>
      <w:r w:rsidR="00D15596" w:rsidRPr="00525D2C">
        <w:rPr>
          <w:rFonts w:ascii="Arial" w:hAnsi="Arial" w:cs="Arial"/>
          <w:b/>
          <w:bCs/>
          <w:sz w:val="20"/>
          <w:szCs w:val="20"/>
        </w:rPr>
        <w:t>Ad</w:t>
      </w:r>
      <w:r w:rsidR="006564C4" w:rsidRPr="00525D2C">
        <w:rPr>
          <w:rFonts w:ascii="Arial" w:hAnsi="Arial" w:cs="Arial"/>
          <w:b/>
          <w:bCs/>
          <w:sz w:val="20"/>
          <w:szCs w:val="20"/>
        </w:rPr>
        <w:t>F</w:t>
      </w:r>
      <w:proofErr w:type="spellEnd"/>
      <w:r w:rsidR="00D15596" w:rsidRPr="00525D2C">
        <w:rPr>
          <w:rFonts w:ascii="Arial" w:hAnsi="Arial" w:cs="Arial"/>
          <w:b/>
          <w:bCs/>
          <w:sz w:val="20"/>
          <w:szCs w:val="20"/>
        </w:rPr>
        <w:t xml:space="preserve"> [EUR/MWh]</w:t>
      </w:r>
    </w:p>
    <w:p w14:paraId="3E30F28D" w14:textId="28114041" w:rsidR="00D15596" w:rsidRPr="00DE7D44" w:rsidRDefault="00EA047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kde:</w:t>
      </w:r>
    </w:p>
    <w:p w14:paraId="0BA2E653" w14:textId="04A70B6E" w:rsidR="00D40D00" w:rsidRPr="00DE7D44" w:rsidRDefault="00EA047D" w:rsidP="00063D5C">
      <w:pPr>
        <w:pStyle w:val="Odsekzoznamu"/>
        <w:numPr>
          <w:ilvl w:val="0"/>
          <w:numId w:val="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25D2C">
        <w:rPr>
          <w:rFonts w:ascii="Arial" w:hAnsi="Arial" w:cs="Arial"/>
          <w:b/>
          <w:bCs/>
          <w:sz w:val="20"/>
          <w:szCs w:val="20"/>
        </w:rPr>
        <w:t>PXE</w:t>
      </w:r>
      <w:r w:rsidR="003B5852" w:rsidRPr="00525D2C">
        <w:rPr>
          <w:rFonts w:ascii="Arial" w:hAnsi="Arial" w:cs="Arial"/>
          <w:b/>
          <w:bCs/>
          <w:sz w:val="20"/>
          <w:szCs w:val="20"/>
        </w:rPr>
        <w:t xml:space="preserve">P </w:t>
      </w:r>
      <w:r w:rsidR="003B5852" w:rsidRPr="00DE7D44">
        <w:rPr>
          <w:rFonts w:ascii="Arial" w:hAnsi="Arial" w:cs="Arial"/>
          <w:sz w:val="20"/>
          <w:szCs w:val="20"/>
        </w:rPr>
        <w:t>je</w:t>
      </w:r>
      <w:r w:rsidR="007A578B" w:rsidRPr="00DE7D44">
        <w:rPr>
          <w:rFonts w:ascii="Arial" w:hAnsi="Arial" w:cs="Arial"/>
          <w:sz w:val="20"/>
          <w:szCs w:val="20"/>
        </w:rPr>
        <w:t xml:space="preserve"> aktuálna hodnota </w:t>
      </w:r>
      <w:r w:rsidR="002F59C8" w:rsidRPr="00DE7D44">
        <w:rPr>
          <w:rFonts w:ascii="Arial" w:hAnsi="Arial" w:cs="Arial"/>
          <w:sz w:val="20"/>
          <w:szCs w:val="20"/>
        </w:rPr>
        <w:t>ročného p</w:t>
      </w:r>
      <w:r w:rsidR="007A578B" w:rsidRPr="00DE7D44">
        <w:rPr>
          <w:rFonts w:ascii="Arial" w:hAnsi="Arial" w:cs="Arial"/>
          <w:sz w:val="20"/>
          <w:szCs w:val="20"/>
        </w:rPr>
        <w:t>roduktu „</w:t>
      </w:r>
      <w:r w:rsidR="000308BD" w:rsidRPr="00DE7D44">
        <w:rPr>
          <w:rFonts w:ascii="Arial" w:hAnsi="Arial" w:cs="Arial"/>
          <w:sz w:val="20"/>
          <w:szCs w:val="20"/>
        </w:rPr>
        <w:t xml:space="preserve">EEX-PXE </w:t>
      </w:r>
      <w:proofErr w:type="spellStart"/>
      <w:r w:rsidR="000308BD" w:rsidRPr="00DE7D44">
        <w:rPr>
          <w:rFonts w:ascii="Arial" w:hAnsi="Arial" w:cs="Arial"/>
          <w:sz w:val="20"/>
          <w:szCs w:val="20"/>
        </w:rPr>
        <w:t>Slovakian</w:t>
      </w:r>
      <w:proofErr w:type="spellEnd"/>
      <w:r w:rsidR="000308BD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8BD" w:rsidRPr="00DE7D44">
        <w:rPr>
          <w:rFonts w:ascii="Arial" w:hAnsi="Arial" w:cs="Arial"/>
          <w:sz w:val="20"/>
          <w:szCs w:val="20"/>
        </w:rPr>
        <w:t>Power</w:t>
      </w:r>
      <w:proofErr w:type="spellEnd"/>
      <w:r w:rsidR="000308BD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8BD" w:rsidRPr="00DE7D44">
        <w:rPr>
          <w:rFonts w:ascii="Arial" w:hAnsi="Arial" w:cs="Arial"/>
          <w:sz w:val="20"/>
          <w:szCs w:val="20"/>
        </w:rPr>
        <w:t>Futures</w:t>
      </w:r>
      <w:proofErr w:type="spellEnd"/>
      <w:r w:rsidR="000308BD" w:rsidRPr="00DE7D44">
        <w:rPr>
          <w:rFonts w:ascii="Arial" w:hAnsi="Arial" w:cs="Arial"/>
          <w:sz w:val="20"/>
          <w:szCs w:val="20"/>
        </w:rPr>
        <w:t>“</w:t>
      </w:r>
      <w:r w:rsidR="002F59C8" w:rsidRPr="00DE7D44">
        <w:rPr>
          <w:rFonts w:ascii="Arial" w:hAnsi="Arial" w:cs="Arial"/>
          <w:sz w:val="20"/>
          <w:szCs w:val="20"/>
        </w:rPr>
        <w:t xml:space="preserve"> na obchodnej platforme </w:t>
      </w:r>
      <w:proofErr w:type="spellStart"/>
      <w:r w:rsidR="002F59C8" w:rsidRPr="00DE7D44">
        <w:rPr>
          <w:rFonts w:ascii="Arial" w:hAnsi="Arial" w:cs="Arial"/>
          <w:sz w:val="20"/>
          <w:szCs w:val="20"/>
        </w:rPr>
        <w:t>Power</w:t>
      </w:r>
      <w:proofErr w:type="spellEnd"/>
      <w:r w:rsidR="002F59C8" w:rsidRPr="00DE7D44">
        <w:rPr>
          <w:rFonts w:ascii="Arial" w:hAnsi="Arial" w:cs="Arial"/>
          <w:sz w:val="20"/>
          <w:szCs w:val="20"/>
        </w:rPr>
        <w:t xml:space="preserve"> Exchange </w:t>
      </w:r>
      <w:proofErr w:type="spellStart"/>
      <w:r w:rsidR="002F59C8" w:rsidRPr="00DE7D44">
        <w:rPr>
          <w:rFonts w:ascii="Arial" w:hAnsi="Arial" w:cs="Arial"/>
          <w:sz w:val="20"/>
          <w:szCs w:val="20"/>
        </w:rPr>
        <w:t>Central</w:t>
      </w:r>
      <w:proofErr w:type="spellEnd"/>
      <w:r w:rsidR="002F59C8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59C8" w:rsidRPr="00DE7D44">
        <w:rPr>
          <w:rFonts w:ascii="Arial" w:hAnsi="Arial" w:cs="Arial"/>
          <w:sz w:val="20"/>
          <w:szCs w:val="20"/>
        </w:rPr>
        <w:t>Europe</w:t>
      </w:r>
      <w:proofErr w:type="spellEnd"/>
      <w:r w:rsidR="002F59C8" w:rsidRPr="00DE7D44">
        <w:rPr>
          <w:rFonts w:ascii="Arial" w:hAnsi="Arial" w:cs="Arial"/>
          <w:sz w:val="20"/>
          <w:szCs w:val="20"/>
        </w:rPr>
        <w:t xml:space="preserve"> zo dňa D v</w:t>
      </w:r>
      <w:r w:rsidR="00834BD8" w:rsidRPr="00DE7D44">
        <w:rPr>
          <w:rFonts w:ascii="Arial" w:hAnsi="Arial" w:cs="Arial"/>
          <w:sz w:val="20"/>
          <w:szCs w:val="20"/>
        </w:rPr>
        <w:t> </w:t>
      </w:r>
      <w:r w:rsidR="002F59C8" w:rsidRPr="00DE7D44">
        <w:rPr>
          <w:rFonts w:ascii="Arial" w:hAnsi="Arial" w:cs="Arial"/>
          <w:sz w:val="20"/>
          <w:szCs w:val="20"/>
        </w:rPr>
        <w:t>EUR</w:t>
      </w:r>
      <w:r w:rsidR="00834BD8" w:rsidRPr="00DE7D44">
        <w:rPr>
          <w:rFonts w:ascii="Arial" w:hAnsi="Arial" w:cs="Arial"/>
          <w:sz w:val="20"/>
          <w:szCs w:val="20"/>
        </w:rPr>
        <w:t xml:space="preserve">/MWh. V prípade, že sa umiestnenie príslušnej hodnoty PXE zmení, dodávateľ pre stanovenie ceny použije príslušnú hodnotu </w:t>
      </w:r>
      <w:r w:rsidR="00020D95">
        <w:rPr>
          <w:rFonts w:ascii="Arial" w:hAnsi="Arial" w:cs="Arial"/>
          <w:sz w:val="20"/>
          <w:szCs w:val="20"/>
        </w:rPr>
        <w:br/>
      </w:r>
      <w:r w:rsidR="00834BD8" w:rsidRPr="00DE7D44">
        <w:rPr>
          <w:rFonts w:ascii="Arial" w:hAnsi="Arial" w:cs="Arial"/>
          <w:sz w:val="20"/>
          <w:szCs w:val="20"/>
        </w:rPr>
        <w:t xml:space="preserve">zo zodpovedajúceho dostupného umiestnenia z rovnakého zdroja (www.pxe.cz), prípadne </w:t>
      </w:r>
      <w:r w:rsidR="00020D95">
        <w:rPr>
          <w:rFonts w:ascii="Arial" w:hAnsi="Arial" w:cs="Arial"/>
          <w:sz w:val="20"/>
          <w:szCs w:val="20"/>
        </w:rPr>
        <w:br/>
      </w:r>
      <w:r w:rsidR="00834BD8" w:rsidRPr="00DE7D44">
        <w:rPr>
          <w:rFonts w:ascii="Arial" w:hAnsi="Arial" w:cs="Arial"/>
          <w:sz w:val="20"/>
          <w:szCs w:val="20"/>
        </w:rPr>
        <w:t>sa zmluvné strany dohodnú na inej zodpovedajúcej referenčnej cene.</w:t>
      </w:r>
    </w:p>
    <w:p w14:paraId="7CEDD360" w14:textId="7492E640" w:rsidR="00E3157F" w:rsidRPr="00DE7D44" w:rsidRDefault="00607E8F" w:rsidP="00063D5C">
      <w:pPr>
        <w:pStyle w:val="Odsekzoznamu"/>
        <w:numPr>
          <w:ilvl w:val="0"/>
          <w:numId w:val="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25D2C">
        <w:rPr>
          <w:rFonts w:ascii="Arial" w:hAnsi="Arial" w:cs="Arial"/>
          <w:b/>
          <w:bCs/>
          <w:sz w:val="20"/>
          <w:szCs w:val="20"/>
        </w:rPr>
        <w:t>Ad</w:t>
      </w:r>
      <w:r w:rsidRPr="00DE7D44">
        <w:rPr>
          <w:rFonts w:ascii="Arial" w:hAnsi="Arial" w:cs="Arial"/>
          <w:sz w:val="20"/>
          <w:szCs w:val="20"/>
        </w:rPr>
        <w:t xml:space="preserve"> je cenový aditív, ktorým je číselná hodnota predložená dodávateľom pre danú Skupinu odberateľov v procese verejného obstarávania zohľadňujúca služby obchodníka v EUR/MWh.</w:t>
      </w:r>
    </w:p>
    <w:p w14:paraId="596FD572" w14:textId="4D69A97C" w:rsidR="00D40D00" w:rsidRPr="00DE7D44" w:rsidRDefault="00D40D00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Cena za dodávku elektriny zahŕňa aj cenu dodávateľa za prevzatie zodpovedností za odchýlku </w:t>
      </w:r>
      <w:r w:rsidR="00020D95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za OM voči zúčtovateľovi odchýlok a všetky jeho ekonomicky oprávnené náklady účelne vynaložené </w:t>
      </w:r>
      <w:r w:rsidR="00020D95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v súvislosti s poskytovaním zmluvných plnení podľa tejto zmluvy a primeraný zisk dodávateľa. </w:t>
      </w:r>
    </w:p>
    <w:p w14:paraId="51AEB191" w14:textId="6997C74C" w:rsidR="009307BD" w:rsidRPr="00DE7D44" w:rsidRDefault="009307B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lastRenderedPageBreak/>
        <w:t xml:space="preserve">Dňom D sa rozumie pracovný deň burzy </w:t>
      </w:r>
      <w:proofErr w:type="spellStart"/>
      <w:r w:rsidRPr="00DE7D44">
        <w:rPr>
          <w:rFonts w:ascii="Arial" w:hAnsi="Arial" w:cs="Arial"/>
          <w:sz w:val="20"/>
          <w:szCs w:val="20"/>
        </w:rPr>
        <w:t>Power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Exchange </w:t>
      </w:r>
      <w:proofErr w:type="spellStart"/>
      <w:r w:rsidRPr="00DE7D44">
        <w:rPr>
          <w:rFonts w:ascii="Arial" w:hAnsi="Arial" w:cs="Arial"/>
          <w:sz w:val="20"/>
          <w:szCs w:val="20"/>
        </w:rPr>
        <w:t>Central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7D44">
        <w:rPr>
          <w:rFonts w:ascii="Arial" w:hAnsi="Arial" w:cs="Arial"/>
          <w:sz w:val="20"/>
          <w:szCs w:val="20"/>
        </w:rPr>
        <w:t>Europe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, v ktorom je dodávateľovi doručená požiadavka na ocenenie.  </w:t>
      </w:r>
    </w:p>
    <w:p w14:paraId="5DDAF522" w14:textId="2A68ED03" w:rsidR="00231036" w:rsidRPr="00DE7D44" w:rsidRDefault="00E34DC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Skupina o</w:t>
      </w:r>
      <w:r w:rsidR="00231036" w:rsidRPr="00DE7D44">
        <w:rPr>
          <w:rFonts w:ascii="Arial" w:hAnsi="Arial" w:cs="Arial"/>
          <w:sz w:val="20"/>
          <w:szCs w:val="20"/>
        </w:rPr>
        <w:t>dberateľ</w:t>
      </w:r>
      <w:r w:rsidRPr="00DE7D44">
        <w:rPr>
          <w:rFonts w:ascii="Arial" w:hAnsi="Arial" w:cs="Arial"/>
          <w:sz w:val="20"/>
          <w:szCs w:val="20"/>
        </w:rPr>
        <w:t>ov</w:t>
      </w:r>
      <w:r w:rsidR="00231036" w:rsidRPr="00DE7D44">
        <w:rPr>
          <w:rFonts w:ascii="Arial" w:hAnsi="Arial" w:cs="Arial"/>
          <w:sz w:val="20"/>
          <w:szCs w:val="20"/>
        </w:rPr>
        <w:t xml:space="preserve"> pre príslušný kalendárny rok určí množstvo elektriny, ktoré požaduje oceniť cenou s použitím burzového indexu PXE</w:t>
      </w:r>
      <w:r w:rsidR="00B908B7" w:rsidRPr="00DE7D44">
        <w:rPr>
          <w:rFonts w:ascii="Arial" w:hAnsi="Arial" w:cs="Arial"/>
          <w:sz w:val="20"/>
          <w:szCs w:val="20"/>
        </w:rPr>
        <w:t>-SK</w:t>
      </w:r>
      <w:r w:rsidR="00231036" w:rsidRPr="00DE7D44">
        <w:rPr>
          <w:rFonts w:ascii="Arial" w:hAnsi="Arial" w:cs="Arial"/>
          <w:sz w:val="20"/>
          <w:szCs w:val="20"/>
        </w:rPr>
        <w:t xml:space="preserve">. Dodávateľ ocení množstvo určené podľa predchádzajúcej vety cenou s použitím príslušného burzového indexu. Odberateľ zašle požiadavku na ocenenie e-mailom </w:t>
      </w:r>
      <w:r w:rsidR="00DD6C6F">
        <w:rPr>
          <w:rFonts w:ascii="Arial" w:hAnsi="Arial" w:cs="Arial"/>
          <w:sz w:val="20"/>
          <w:szCs w:val="20"/>
        </w:rPr>
        <w:br/>
      </w:r>
      <w:r w:rsidR="00231036" w:rsidRPr="00DE7D44">
        <w:rPr>
          <w:rFonts w:ascii="Arial" w:hAnsi="Arial" w:cs="Arial"/>
          <w:sz w:val="20"/>
          <w:szCs w:val="20"/>
        </w:rPr>
        <w:t xml:space="preserve">na adresu dodávateľa a následne danú požiadavku aj telefonicky potvrdí. Odberateľ je oprávnený požiadať dodávateľa o cenovú ponuku podľa predchádzajúcej vety 1-krát denne, v pracovných dňoch </w:t>
      </w:r>
      <w:r w:rsidR="00A54B6C">
        <w:rPr>
          <w:rFonts w:ascii="Arial" w:hAnsi="Arial" w:cs="Arial"/>
          <w:sz w:val="20"/>
          <w:szCs w:val="20"/>
        </w:rPr>
        <w:br/>
      </w:r>
      <w:r w:rsidR="00231036" w:rsidRPr="00DE7D44">
        <w:rPr>
          <w:rFonts w:ascii="Arial" w:hAnsi="Arial" w:cs="Arial"/>
          <w:sz w:val="20"/>
          <w:szCs w:val="20"/>
        </w:rPr>
        <w:t>v čase medzi 9:00 - 15:00 hod</w:t>
      </w:r>
      <w:r w:rsidR="0008707A" w:rsidRPr="00DE7D44">
        <w:rPr>
          <w:rFonts w:ascii="Arial" w:hAnsi="Arial" w:cs="Arial"/>
          <w:sz w:val="20"/>
          <w:szCs w:val="20"/>
        </w:rPr>
        <w:t>. Posledným</w:t>
      </w:r>
      <w:r w:rsidR="000C0AA7" w:rsidRPr="00DE7D44">
        <w:rPr>
          <w:rFonts w:ascii="Arial" w:hAnsi="Arial" w:cs="Arial"/>
          <w:sz w:val="20"/>
          <w:szCs w:val="20"/>
        </w:rPr>
        <w:t xml:space="preserve"> dňom pre ocenenie množstva pre príslušný rok</w:t>
      </w:r>
      <w:r w:rsidR="00D83E92" w:rsidRPr="00DE7D44">
        <w:rPr>
          <w:rFonts w:ascii="Arial" w:hAnsi="Arial" w:cs="Arial"/>
          <w:sz w:val="20"/>
          <w:szCs w:val="20"/>
        </w:rPr>
        <w:t xml:space="preserve"> R</w:t>
      </w:r>
      <w:r w:rsidR="000C0AA7" w:rsidRPr="00DE7D44">
        <w:rPr>
          <w:rFonts w:ascii="Arial" w:hAnsi="Arial" w:cs="Arial"/>
          <w:sz w:val="20"/>
          <w:szCs w:val="20"/>
        </w:rPr>
        <w:t xml:space="preserve"> </w:t>
      </w:r>
      <w:r w:rsidR="00A54B6C">
        <w:rPr>
          <w:rFonts w:ascii="Arial" w:hAnsi="Arial" w:cs="Arial"/>
          <w:sz w:val="20"/>
          <w:szCs w:val="20"/>
        </w:rPr>
        <w:br/>
      </w:r>
      <w:r w:rsidR="000C0AA7" w:rsidRPr="00DE7D44">
        <w:rPr>
          <w:rFonts w:ascii="Arial" w:hAnsi="Arial" w:cs="Arial"/>
          <w:sz w:val="20"/>
          <w:szCs w:val="20"/>
        </w:rPr>
        <w:t>je 14. december</w:t>
      </w:r>
      <w:r w:rsidR="00D83E92" w:rsidRPr="00DE7D44">
        <w:rPr>
          <w:rFonts w:ascii="Arial" w:hAnsi="Arial" w:cs="Arial"/>
          <w:sz w:val="20"/>
          <w:szCs w:val="20"/>
        </w:rPr>
        <w:t xml:space="preserve"> </w:t>
      </w:r>
      <w:r w:rsidR="008E65AE" w:rsidRPr="00DE7D44">
        <w:rPr>
          <w:rFonts w:ascii="Arial" w:hAnsi="Arial" w:cs="Arial"/>
          <w:sz w:val="20"/>
          <w:szCs w:val="20"/>
        </w:rPr>
        <w:t>predchádzajúceho roka</w:t>
      </w:r>
      <w:r w:rsidR="000C0AA7" w:rsidRPr="00DE7D44">
        <w:rPr>
          <w:rFonts w:ascii="Arial" w:hAnsi="Arial" w:cs="Arial"/>
          <w:sz w:val="20"/>
          <w:szCs w:val="20"/>
        </w:rPr>
        <w:t>.</w:t>
      </w:r>
      <w:r w:rsidR="00231036" w:rsidRPr="00DE7D44">
        <w:rPr>
          <w:rFonts w:ascii="Arial" w:hAnsi="Arial" w:cs="Arial"/>
          <w:sz w:val="20"/>
          <w:szCs w:val="20"/>
        </w:rPr>
        <w:t xml:space="preserve">  </w:t>
      </w:r>
    </w:p>
    <w:p w14:paraId="40CB8862" w14:textId="7CE1D6E7" w:rsidR="00231036" w:rsidRPr="00DE7D44" w:rsidRDefault="0023103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Dodávateľ zašle odberateľovi cenovú ponuku e-mailom čo najskôr podľa svojich aktuálnych administratívnych možností a následne danú ponuku aj telefonicky potvrdí. Cenová ponuka dodávateľa bude platná 15 minút od odoslania. </w:t>
      </w:r>
    </w:p>
    <w:p w14:paraId="23DE626B" w14:textId="3A0AAE7C" w:rsidR="00231036" w:rsidRPr="00DE7D44" w:rsidRDefault="0023103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V prípade súhlasu s návrhom ceny je odberateľ povinný zaslať akceptáciu ceny dodávateľovi prostredníctvom e-mailu. Doručením akceptácie prostredníctvom elektronickej pošty je uzavretá dohoda o množstvách a cene, ktoré sú uvedené v ponuke dodávateľa. Pre potvrdenie uzavretia dohody </w:t>
      </w:r>
      <w:r w:rsidR="003D641B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o množstvách a cene obidve zmluvné strany následne podpíšu Dohodu o stanovení ceny. </w:t>
      </w:r>
    </w:p>
    <w:p w14:paraId="0954F2C0" w14:textId="076B1787" w:rsidR="00B96A3D" w:rsidRPr="00DE7D44" w:rsidRDefault="0023103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Na základe akceptácie ceny </w:t>
      </w:r>
      <w:r w:rsidR="001342C2">
        <w:rPr>
          <w:rFonts w:ascii="Arial" w:hAnsi="Arial" w:cs="Arial"/>
          <w:sz w:val="20"/>
          <w:szCs w:val="20"/>
        </w:rPr>
        <w:t>s</w:t>
      </w:r>
      <w:r w:rsidR="008E65AE" w:rsidRPr="00DE7D44">
        <w:rPr>
          <w:rFonts w:ascii="Arial" w:hAnsi="Arial" w:cs="Arial"/>
          <w:sz w:val="20"/>
          <w:szCs w:val="20"/>
        </w:rPr>
        <w:t xml:space="preserve">kupinou </w:t>
      </w:r>
      <w:r w:rsidRPr="00DE7D44">
        <w:rPr>
          <w:rFonts w:ascii="Arial" w:hAnsi="Arial" w:cs="Arial"/>
          <w:sz w:val="20"/>
          <w:szCs w:val="20"/>
        </w:rPr>
        <w:t>odberateľo</w:t>
      </w:r>
      <w:r w:rsidR="008E65AE" w:rsidRPr="00DE7D44">
        <w:rPr>
          <w:rFonts w:ascii="Arial" w:hAnsi="Arial" w:cs="Arial"/>
          <w:sz w:val="20"/>
          <w:szCs w:val="20"/>
        </w:rPr>
        <w:t>v</w:t>
      </w:r>
      <w:r w:rsidR="0063374C">
        <w:rPr>
          <w:rFonts w:ascii="Arial" w:hAnsi="Arial" w:cs="Arial"/>
          <w:sz w:val="20"/>
          <w:szCs w:val="20"/>
        </w:rPr>
        <w:t>,</w:t>
      </w:r>
      <w:r w:rsidRPr="00DE7D44">
        <w:rPr>
          <w:rFonts w:ascii="Arial" w:hAnsi="Arial" w:cs="Arial"/>
          <w:sz w:val="20"/>
          <w:szCs w:val="20"/>
        </w:rPr>
        <w:t xml:space="preserve"> dodávateľ zašle </w:t>
      </w:r>
      <w:r w:rsidR="0063374C">
        <w:rPr>
          <w:rFonts w:ascii="Arial" w:hAnsi="Arial" w:cs="Arial"/>
          <w:sz w:val="20"/>
          <w:szCs w:val="20"/>
        </w:rPr>
        <w:t>s</w:t>
      </w:r>
      <w:r w:rsidR="00F769BB" w:rsidRPr="00DE7D44">
        <w:rPr>
          <w:rFonts w:ascii="Arial" w:hAnsi="Arial" w:cs="Arial"/>
          <w:sz w:val="20"/>
          <w:szCs w:val="20"/>
        </w:rPr>
        <w:t xml:space="preserve">kupine </w:t>
      </w:r>
      <w:r w:rsidRPr="00DE7D44">
        <w:rPr>
          <w:rFonts w:ascii="Arial" w:hAnsi="Arial" w:cs="Arial"/>
          <w:sz w:val="20"/>
          <w:szCs w:val="20"/>
        </w:rPr>
        <w:t>odberateľo</w:t>
      </w:r>
      <w:r w:rsidR="00F769BB" w:rsidRPr="00DE7D44">
        <w:rPr>
          <w:rFonts w:ascii="Arial" w:hAnsi="Arial" w:cs="Arial"/>
          <w:sz w:val="20"/>
          <w:szCs w:val="20"/>
        </w:rPr>
        <w:t>v</w:t>
      </w:r>
      <w:r w:rsidRPr="00DE7D44">
        <w:rPr>
          <w:rFonts w:ascii="Arial" w:hAnsi="Arial" w:cs="Arial"/>
          <w:sz w:val="20"/>
          <w:szCs w:val="20"/>
        </w:rPr>
        <w:t xml:space="preserve"> písomnú Dohodu o stanovení ceny na báze príslušného indexu PXE</w:t>
      </w:r>
      <w:r w:rsidR="00A75043" w:rsidRPr="00DE7D44">
        <w:rPr>
          <w:rFonts w:ascii="Arial" w:hAnsi="Arial" w:cs="Arial"/>
          <w:sz w:val="20"/>
          <w:szCs w:val="20"/>
        </w:rPr>
        <w:t>-SK</w:t>
      </w:r>
      <w:r w:rsidRPr="00DE7D44">
        <w:rPr>
          <w:rFonts w:ascii="Arial" w:hAnsi="Arial" w:cs="Arial"/>
          <w:sz w:val="20"/>
          <w:szCs w:val="20"/>
        </w:rPr>
        <w:t>, ktorá bude obsahovať hodnotu PXE</w:t>
      </w:r>
      <w:r w:rsidR="00F769BB" w:rsidRPr="00DE7D44">
        <w:rPr>
          <w:rFonts w:ascii="Arial" w:hAnsi="Arial" w:cs="Arial"/>
          <w:sz w:val="20"/>
          <w:szCs w:val="20"/>
        </w:rPr>
        <w:t>P</w:t>
      </w:r>
      <w:r w:rsidRPr="00DE7D44">
        <w:rPr>
          <w:rFonts w:ascii="Arial" w:hAnsi="Arial" w:cs="Arial"/>
          <w:sz w:val="20"/>
          <w:szCs w:val="20"/>
        </w:rPr>
        <w:t xml:space="preserve"> stanovenú podľa tohto bodu, ako aj príslušné množstvo. Odberateľ následne obratom zašle Dohodu, čím sa táto Dohoda stane neoddeliteľnou súčasťou zmluvy.</w:t>
      </w:r>
    </w:p>
    <w:p w14:paraId="44F59DE6" w14:textId="46D4B033" w:rsidR="00436463" w:rsidRDefault="1DEF8C02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Skupina odberateľov je povinná skutočne odobrať minimálne 90% z predpokladaného ročného množstva elektriny. Do vyhodnocovania skutočne odobratej elektriny sa započítavajú aj zmeny dohodnuté medzi </w:t>
      </w:r>
      <w:r w:rsidR="00BE3C0C">
        <w:rPr>
          <w:rFonts w:ascii="Arial" w:hAnsi="Arial" w:cs="Arial"/>
          <w:sz w:val="20"/>
          <w:szCs w:val="20"/>
        </w:rPr>
        <w:t>s</w:t>
      </w:r>
      <w:r w:rsidRPr="00DE7D44">
        <w:rPr>
          <w:rFonts w:ascii="Arial" w:hAnsi="Arial" w:cs="Arial"/>
          <w:sz w:val="20"/>
          <w:szCs w:val="20"/>
        </w:rPr>
        <w:t xml:space="preserve">kupinou odberateľov a </w:t>
      </w:r>
      <w:r w:rsidR="00BE3C0C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odávateľom počas Zmluvného obdobia. Zmluvné strany </w:t>
      </w:r>
      <w:r w:rsidR="003D641B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sa dohodli, že v prípade neodobrania minimálneho množstva elektriny, zisteného vyhodnotením skutočne odobratej elektriny, má </w:t>
      </w:r>
      <w:r w:rsidR="00D95D4F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 právo za neodobratú elektrinu (rozdiel medzi skutočne odobratým množstvom a minimálnym množstvom) uplatniť voči </w:t>
      </w:r>
      <w:r w:rsidR="00436463">
        <w:rPr>
          <w:rFonts w:ascii="Arial" w:hAnsi="Arial" w:cs="Arial"/>
          <w:sz w:val="20"/>
          <w:szCs w:val="20"/>
        </w:rPr>
        <w:t>s</w:t>
      </w:r>
      <w:r w:rsidRPr="00DE7D44">
        <w:rPr>
          <w:rFonts w:ascii="Arial" w:hAnsi="Arial" w:cs="Arial"/>
          <w:sz w:val="20"/>
          <w:szCs w:val="20"/>
        </w:rPr>
        <w:t xml:space="preserve">kupine odberateľov zmluvnú pokutu, ktorá je dohodnutá vo výške CPNR za každú neodobratú MWh. Zmluvná pokuta bude fakturovaná samostatnou faktúrou, vystavenou po vyhodnotení Zmluvného obdobia. </w:t>
      </w:r>
    </w:p>
    <w:p w14:paraId="69B9DAC3" w14:textId="27676760" w:rsidR="008A4927" w:rsidRPr="00DE7D44" w:rsidRDefault="1DEF8C02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Hodnota CPNR bude vypočítaná nasledovne:</w:t>
      </w:r>
    </w:p>
    <w:p w14:paraId="3003E19D" w14:textId="73F752A4" w:rsidR="00362272" w:rsidRPr="00436463" w:rsidRDefault="008A4927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36463">
        <w:rPr>
          <w:rFonts w:ascii="Arial" w:hAnsi="Arial" w:cs="Arial"/>
          <w:b/>
          <w:bCs/>
          <w:sz w:val="20"/>
          <w:szCs w:val="20"/>
        </w:rPr>
        <w:t xml:space="preserve">CPNR = </w:t>
      </w:r>
      <w:r w:rsidR="00EF2E99" w:rsidRPr="00436463">
        <w:rPr>
          <w:rFonts w:ascii="Arial" w:hAnsi="Arial" w:cs="Arial"/>
          <w:b/>
          <w:bCs/>
          <w:sz w:val="20"/>
          <w:szCs w:val="20"/>
        </w:rPr>
        <w:t>JCE</w:t>
      </w:r>
      <w:r w:rsidRPr="00436463">
        <w:rPr>
          <w:rFonts w:ascii="Arial" w:hAnsi="Arial" w:cs="Arial"/>
          <w:b/>
          <w:bCs/>
          <w:sz w:val="20"/>
          <w:szCs w:val="20"/>
        </w:rPr>
        <w:t xml:space="preserve"> – (ISOTR * 0,8) </w:t>
      </w:r>
      <w:bookmarkStart w:id="0" w:name="_Hlk163815601"/>
      <w:r w:rsidRPr="00436463">
        <w:rPr>
          <w:rFonts w:ascii="Arial" w:hAnsi="Arial" w:cs="Arial"/>
          <w:b/>
          <w:bCs/>
          <w:sz w:val="20"/>
          <w:szCs w:val="20"/>
        </w:rPr>
        <w:t>[EUR/MWh]</w:t>
      </w:r>
      <w:bookmarkEnd w:id="0"/>
    </w:p>
    <w:p w14:paraId="7B82D07E" w14:textId="5806DBCD" w:rsidR="00E74013" w:rsidRPr="00DE7D44" w:rsidRDefault="00E7401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kde:</w:t>
      </w:r>
    </w:p>
    <w:p w14:paraId="27EBA799" w14:textId="782284B0" w:rsidR="004C5939" w:rsidRPr="00DE7D44" w:rsidRDefault="00EF2E99" w:rsidP="00237DC7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96E5A">
        <w:rPr>
          <w:rFonts w:ascii="Arial" w:hAnsi="Arial" w:cs="Arial"/>
          <w:b/>
          <w:bCs/>
          <w:sz w:val="20"/>
          <w:szCs w:val="20"/>
        </w:rPr>
        <w:t>JCE</w:t>
      </w:r>
      <w:r w:rsidR="004C5939" w:rsidRPr="00DE7D44">
        <w:rPr>
          <w:rFonts w:ascii="Arial" w:hAnsi="Arial" w:cs="Arial"/>
          <w:sz w:val="20"/>
          <w:szCs w:val="20"/>
        </w:rPr>
        <w:t xml:space="preserve"> je </w:t>
      </w:r>
      <w:r w:rsidR="00586E85" w:rsidRPr="00DE7D44">
        <w:rPr>
          <w:rFonts w:ascii="Arial" w:hAnsi="Arial" w:cs="Arial"/>
          <w:sz w:val="20"/>
          <w:szCs w:val="20"/>
        </w:rPr>
        <w:t>jednotková cena elektriny</w:t>
      </w:r>
      <w:r w:rsidR="00231036" w:rsidRPr="00DE7D44">
        <w:rPr>
          <w:rFonts w:ascii="Arial" w:hAnsi="Arial" w:cs="Arial"/>
          <w:sz w:val="20"/>
          <w:szCs w:val="20"/>
        </w:rPr>
        <w:t xml:space="preserve"> pre</w:t>
      </w:r>
      <w:r w:rsidR="004C5939" w:rsidRPr="00DE7D44">
        <w:rPr>
          <w:rFonts w:ascii="Arial" w:hAnsi="Arial" w:cs="Arial"/>
          <w:sz w:val="20"/>
          <w:szCs w:val="20"/>
        </w:rPr>
        <w:t xml:space="preserve"> Skupin</w:t>
      </w:r>
      <w:r w:rsidR="00231036" w:rsidRPr="00DE7D44">
        <w:rPr>
          <w:rFonts w:ascii="Arial" w:hAnsi="Arial" w:cs="Arial"/>
          <w:sz w:val="20"/>
          <w:szCs w:val="20"/>
        </w:rPr>
        <w:t>u</w:t>
      </w:r>
      <w:r w:rsidR="004C5939" w:rsidRPr="00DE7D44">
        <w:rPr>
          <w:rFonts w:ascii="Arial" w:hAnsi="Arial" w:cs="Arial"/>
          <w:sz w:val="20"/>
          <w:szCs w:val="20"/>
        </w:rPr>
        <w:t xml:space="preserve"> odberateľov v kalendárnom roku R v EUR/MWh,</w:t>
      </w:r>
    </w:p>
    <w:p w14:paraId="16896F0D" w14:textId="5279586E" w:rsidR="004C5939" w:rsidRPr="00DE7D44" w:rsidRDefault="004C5939" w:rsidP="00237DC7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96E5A">
        <w:rPr>
          <w:rFonts w:ascii="Arial" w:hAnsi="Arial" w:cs="Arial"/>
          <w:b/>
          <w:bCs/>
          <w:sz w:val="20"/>
          <w:szCs w:val="20"/>
        </w:rPr>
        <w:t>ISOTR</w:t>
      </w:r>
      <w:r w:rsidRPr="00DE7D44">
        <w:rPr>
          <w:rFonts w:ascii="Arial" w:hAnsi="Arial" w:cs="Arial"/>
          <w:sz w:val="20"/>
          <w:szCs w:val="20"/>
        </w:rPr>
        <w:t xml:space="preserve"> je priemerná cena na krátkodobom trhu s elektrinou v SR za všetky hodiny v kalendárnom roku R (hodnota ročného indexu BASE na dennom trhu na stránke </w:t>
      </w:r>
      <w:hyperlink r:id="rId10" w:history="1">
        <w:r w:rsidR="00C33294" w:rsidRPr="00DE7D44">
          <w:rPr>
            <w:rStyle w:val="Hypertextovprepojenie"/>
            <w:rFonts w:ascii="Arial" w:hAnsi="Arial" w:cs="Arial"/>
            <w:sz w:val="20"/>
            <w:szCs w:val="20"/>
          </w:rPr>
          <w:t>www.okte.sk</w:t>
        </w:r>
      </w:hyperlink>
      <w:r w:rsidR="00017C84">
        <w:rPr>
          <w:rFonts w:ascii="Arial" w:hAnsi="Arial" w:cs="Arial"/>
          <w:sz w:val="20"/>
          <w:szCs w:val="20"/>
        </w:rPr>
        <w:t>)</w:t>
      </w:r>
      <w:r w:rsidRPr="00DE7D44">
        <w:rPr>
          <w:rFonts w:ascii="Arial" w:hAnsi="Arial" w:cs="Arial"/>
          <w:sz w:val="20"/>
          <w:szCs w:val="20"/>
        </w:rPr>
        <w:t xml:space="preserve"> v EUR/MWh.</w:t>
      </w:r>
    </w:p>
    <w:p w14:paraId="076CC06A" w14:textId="4D313458" w:rsidR="00E74013" w:rsidRPr="00DE7D44" w:rsidRDefault="004C593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Dodávateľ a</w:t>
      </w:r>
      <w:r w:rsidR="0016664D" w:rsidRPr="00DE7D44">
        <w:rPr>
          <w:rFonts w:ascii="Arial" w:hAnsi="Arial" w:cs="Arial"/>
          <w:sz w:val="20"/>
          <w:szCs w:val="20"/>
        </w:rPr>
        <w:t> </w:t>
      </w:r>
      <w:r w:rsidR="00017C84">
        <w:rPr>
          <w:rFonts w:ascii="Arial" w:hAnsi="Arial" w:cs="Arial"/>
          <w:sz w:val="20"/>
          <w:szCs w:val="20"/>
        </w:rPr>
        <w:t>s</w:t>
      </w:r>
      <w:r w:rsidR="0016664D" w:rsidRPr="00DE7D44">
        <w:rPr>
          <w:rFonts w:ascii="Arial" w:hAnsi="Arial" w:cs="Arial"/>
          <w:sz w:val="20"/>
          <w:szCs w:val="20"/>
        </w:rPr>
        <w:t>kupina o</w:t>
      </w:r>
      <w:r w:rsidRPr="00DE7D44">
        <w:rPr>
          <w:rFonts w:ascii="Arial" w:hAnsi="Arial" w:cs="Arial"/>
          <w:sz w:val="20"/>
          <w:szCs w:val="20"/>
        </w:rPr>
        <w:t>dberateľ</w:t>
      </w:r>
      <w:r w:rsidR="0016664D" w:rsidRPr="00DE7D44">
        <w:rPr>
          <w:rFonts w:ascii="Arial" w:hAnsi="Arial" w:cs="Arial"/>
          <w:sz w:val="20"/>
          <w:szCs w:val="20"/>
        </w:rPr>
        <w:t>ov</w:t>
      </w:r>
      <w:r w:rsidRPr="00DE7D44">
        <w:rPr>
          <w:rFonts w:ascii="Arial" w:hAnsi="Arial" w:cs="Arial"/>
          <w:sz w:val="20"/>
          <w:szCs w:val="20"/>
        </w:rPr>
        <w:t xml:space="preserve"> sa dohodli, že v prípade ak bude vypočítaná hodnota CPNR menšia ako 20,00 EUR/MWh, bude pre výpočet zmluvnej pokuty použitá hodnota CPNR = 20,00 EUR/MWh.</w:t>
      </w:r>
    </w:p>
    <w:p w14:paraId="0EB88109" w14:textId="706B0F98" w:rsidR="001066EA" w:rsidRDefault="0016664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Skupina odberateľov sa zaväzuje skutočne odobrať maximálne 110% </w:t>
      </w:r>
      <w:r w:rsidR="003B5551" w:rsidRPr="00DE7D44">
        <w:rPr>
          <w:rFonts w:ascii="Arial" w:hAnsi="Arial" w:cs="Arial"/>
          <w:sz w:val="20"/>
          <w:szCs w:val="20"/>
        </w:rPr>
        <w:t>z predpokladaného ročného množstva elektriny</w:t>
      </w:r>
      <w:r w:rsidRPr="00DE7D44">
        <w:rPr>
          <w:rFonts w:ascii="Arial" w:hAnsi="Arial" w:cs="Arial"/>
          <w:sz w:val="20"/>
          <w:szCs w:val="20"/>
        </w:rPr>
        <w:t xml:space="preserve">. Do vyhodnocovania skutočne odobratej elektriny sa započítavajú aj zmeny dohodnuté medzi </w:t>
      </w:r>
      <w:r w:rsidR="001066EA">
        <w:rPr>
          <w:rFonts w:ascii="Arial" w:hAnsi="Arial" w:cs="Arial"/>
          <w:sz w:val="20"/>
          <w:szCs w:val="20"/>
        </w:rPr>
        <w:t>s</w:t>
      </w:r>
      <w:r w:rsidR="003B5551" w:rsidRPr="00DE7D44">
        <w:rPr>
          <w:rFonts w:ascii="Arial" w:hAnsi="Arial" w:cs="Arial"/>
          <w:sz w:val="20"/>
          <w:szCs w:val="20"/>
        </w:rPr>
        <w:t>kupinou o</w:t>
      </w:r>
      <w:r w:rsidRPr="00DE7D44">
        <w:rPr>
          <w:rFonts w:ascii="Arial" w:hAnsi="Arial" w:cs="Arial"/>
          <w:sz w:val="20"/>
          <w:szCs w:val="20"/>
        </w:rPr>
        <w:t>dberateľo</w:t>
      </w:r>
      <w:r w:rsidR="003B5551" w:rsidRPr="00DE7D44">
        <w:rPr>
          <w:rFonts w:ascii="Arial" w:hAnsi="Arial" w:cs="Arial"/>
          <w:sz w:val="20"/>
          <w:szCs w:val="20"/>
        </w:rPr>
        <w:t>v</w:t>
      </w:r>
      <w:r w:rsidRPr="00DE7D44">
        <w:rPr>
          <w:rFonts w:ascii="Arial" w:hAnsi="Arial" w:cs="Arial"/>
          <w:sz w:val="20"/>
          <w:szCs w:val="20"/>
        </w:rPr>
        <w:t xml:space="preserve"> a </w:t>
      </w:r>
      <w:r w:rsidR="001066EA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odávateľom počas Zmluvného obdobia. V prípade prekročenia dohodnutého maximálneho množstva odobratej elektriny, zisteného vyhodnotením skutočne odobratej elektriny, má dodávateľ právo k elektrine odobratej nad rámec dohodnutého množstva uplatniť cenovú prirážku CPPR (rozdiel medzi skutočne odobratým množstvom elektriny </w:t>
      </w:r>
      <w:r w:rsidR="003D641B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a maximálnym množstvom). Cenová prirážka CPPR je zvýšením ceny PCR odobratej elektriny </w:t>
      </w:r>
      <w:r w:rsidR="003D641B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nad dohodnutý rámec. </w:t>
      </w:r>
    </w:p>
    <w:p w14:paraId="35529438" w14:textId="759921F4" w:rsidR="0016664D" w:rsidRPr="00DE7D44" w:rsidRDefault="0016664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CPPR sa vypočíta nasledovne:</w:t>
      </w:r>
    </w:p>
    <w:p w14:paraId="3C0CF6DF" w14:textId="7063793E" w:rsidR="0016664D" w:rsidRPr="001066EA" w:rsidRDefault="0016664D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066EA">
        <w:rPr>
          <w:rFonts w:ascii="Arial" w:hAnsi="Arial" w:cs="Arial"/>
          <w:b/>
          <w:bCs/>
          <w:sz w:val="20"/>
          <w:szCs w:val="20"/>
        </w:rPr>
        <w:t xml:space="preserve">CPPR = (ISOTR * 1,2) – </w:t>
      </w:r>
      <w:r w:rsidR="00231036" w:rsidRPr="001066EA">
        <w:rPr>
          <w:rFonts w:ascii="Arial" w:hAnsi="Arial" w:cs="Arial"/>
          <w:b/>
          <w:bCs/>
          <w:sz w:val="20"/>
          <w:szCs w:val="20"/>
        </w:rPr>
        <w:t>JCE</w:t>
      </w:r>
      <w:r w:rsidRPr="001066EA">
        <w:rPr>
          <w:rFonts w:ascii="Arial" w:hAnsi="Arial" w:cs="Arial"/>
          <w:b/>
          <w:bCs/>
          <w:sz w:val="20"/>
          <w:szCs w:val="20"/>
        </w:rPr>
        <w:t xml:space="preserve"> [EUR/MWh]</w:t>
      </w:r>
    </w:p>
    <w:p w14:paraId="58678A46" w14:textId="4BC904B0" w:rsidR="0016664D" w:rsidRPr="00DE7D44" w:rsidRDefault="0016664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lastRenderedPageBreak/>
        <w:t>kde:</w:t>
      </w:r>
    </w:p>
    <w:p w14:paraId="4A37378F" w14:textId="3E2883C9" w:rsidR="00231036" w:rsidRPr="00DE7D44" w:rsidRDefault="00231036" w:rsidP="001066EA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D7BD6">
        <w:rPr>
          <w:rFonts w:ascii="Arial" w:hAnsi="Arial" w:cs="Arial"/>
          <w:b/>
          <w:bCs/>
          <w:sz w:val="20"/>
          <w:szCs w:val="20"/>
        </w:rPr>
        <w:t>JCE</w:t>
      </w:r>
      <w:r w:rsidRPr="00DE7D44">
        <w:rPr>
          <w:rFonts w:ascii="Arial" w:hAnsi="Arial" w:cs="Arial"/>
          <w:sz w:val="20"/>
          <w:szCs w:val="20"/>
        </w:rPr>
        <w:t xml:space="preserve"> je jednotková cena elektriny pre </w:t>
      </w:r>
      <w:r w:rsidR="00AD7BD6">
        <w:rPr>
          <w:rFonts w:ascii="Arial" w:hAnsi="Arial" w:cs="Arial"/>
          <w:sz w:val="20"/>
          <w:szCs w:val="20"/>
        </w:rPr>
        <w:t>s</w:t>
      </w:r>
      <w:r w:rsidRPr="00DE7D44">
        <w:rPr>
          <w:rFonts w:ascii="Arial" w:hAnsi="Arial" w:cs="Arial"/>
          <w:sz w:val="20"/>
          <w:szCs w:val="20"/>
        </w:rPr>
        <w:t>kupinu odberateľov v kalendárnom roku R v EUR/MWh,</w:t>
      </w:r>
    </w:p>
    <w:p w14:paraId="3ADCAFE7" w14:textId="1C69A60C" w:rsidR="0016664D" w:rsidRPr="00DE7D44" w:rsidRDefault="0016664D" w:rsidP="001066EA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D7BD6">
        <w:rPr>
          <w:rFonts w:ascii="Arial" w:hAnsi="Arial" w:cs="Arial"/>
          <w:b/>
          <w:bCs/>
          <w:sz w:val="20"/>
          <w:szCs w:val="20"/>
        </w:rPr>
        <w:t>ISOTR</w:t>
      </w:r>
      <w:r w:rsidRPr="00DE7D44">
        <w:rPr>
          <w:rFonts w:ascii="Arial" w:hAnsi="Arial" w:cs="Arial"/>
          <w:sz w:val="20"/>
          <w:szCs w:val="20"/>
        </w:rPr>
        <w:t xml:space="preserve"> je priemerná cena na krátkodobom trhu s elektrinou v SR za všetky hodiny v kalendárnom roku R (hodnota ročného indexu BASE na dennom trhu na stránke </w:t>
      </w:r>
      <w:hyperlink r:id="rId11" w:history="1">
        <w:r w:rsidR="009603E6" w:rsidRPr="00DE7D44">
          <w:rPr>
            <w:rStyle w:val="Hypertextovprepojenie"/>
            <w:rFonts w:ascii="Arial" w:hAnsi="Arial" w:cs="Arial"/>
            <w:sz w:val="20"/>
            <w:szCs w:val="20"/>
          </w:rPr>
          <w:t>www.okte.sk</w:t>
        </w:r>
      </w:hyperlink>
      <w:r w:rsidR="00AD7BD6">
        <w:rPr>
          <w:rFonts w:ascii="Arial" w:hAnsi="Arial" w:cs="Arial"/>
          <w:sz w:val="20"/>
          <w:szCs w:val="20"/>
        </w:rPr>
        <w:t xml:space="preserve">) </w:t>
      </w:r>
      <w:r w:rsidRPr="00DE7D44">
        <w:rPr>
          <w:rFonts w:ascii="Arial" w:hAnsi="Arial" w:cs="Arial"/>
          <w:sz w:val="20"/>
          <w:szCs w:val="20"/>
        </w:rPr>
        <w:t>v EUR/MWh.</w:t>
      </w:r>
    </w:p>
    <w:p w14:paraId="3F54F75A" w14:textId="535646A4" w:rsidR="0016664D" w:rsidRPr="00DE7D44" w:rsidRDefault="0016664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Dodávateľ a</w:t>
      </w:r>
      <w:r w:rsidR="00782639" w:rsidRPr="00DE7D44">
        <w:rPr>
          <w:rFonts w:ascii="Arial" w:hAnsi="Arial" w:cs="Arial"/>
          <w:sz w:val="20"/>
          <w:szCs w:val="20"/>
        </w:rPr>
        <w:t> Skupina odberateľov</w:t>
      </w:r>
      <w:r w:rsidRPr="00DE7D44">
        <w:rPr>
          <w:rFonts w:ascii="Arial" w:hAnsi="Arial" w:cs="Arial"/>
          <w:sz w:val="20"/>
          <w:szCs w:val="20"/>
        </w:rPr>
        <w:t xml:space="preserve"> sa dohodli, že v prípade ak bude vypočítaná hodnota CPNR menšia ako</w:t>
      </w:r>
      <w:r w:rsidR="00627899" w:rsidRPr="00DE7D44">
        <w:rPr>
          <w:rFonts w:ascii="Arial" w:hAnsi="Arial" w:cs="Arial"/>
          <w:sz w:val="20"/>
          <w:szCs w:val="20"/>
        </w:rPr>
        <w:t xml:space="preserve"> </w:t>
      </w:r>
      <w:r w:rsidRPr="00DE7D44">
        <w:rPr>
          <w:rFonts w:ascii="Arial" w:hAnsi="Arial" w:cs="Arial"/>
          <w:sz w:val="20"/>
          <w:szCs w:val="20"/>
        </w:rPr>
        <w:t>20,00 EUR/MWh, bude pre výpočet zmluvnej pokuty použitá hodnota CPNR = 20,00 EUR/MWh.</w:t>
      </w:r>
    </w:p>
    <w:p w14:paraId="6F664EE4" w14:textId="56421AA7" w:rsidR="009705B6" w:rsidRPr="00DE7D44" w:rsidRDefault="0016664D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Dodávateľ je oprávnený vykonať vyhodnotenie skutočne odobratej elektriny za Zmluvné obdobie. Toto vyhodnotenie bude vykonané súčtom odberov za všetky OM vrátane prípadných aktualizácií </w:t>
      </w:r>
      <w:r w:rsidR="003D641B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k poslednému dňu </w:t>
      </w:r>
      <w:r w:rsidR="00FD7D59">
        <w:rPr>
          <w:rFonts w:ascii="Arial" w:hAnsi="Arial" w:cs="Arial"/>
          <w:sz w:val="20"/>
          <w:szCs w:val="20"/>
        </w:rPr>
        <w:t>z</w:t>
      </w:r>
      <w:r w:rsidRPr="00DE7D44">
        <w:rPr>
          <w:rFonts w:ascii="Arial" w:hAnsi="Arial" w:cs="Arial"/>
          <w:sz w:val="20"/>
          <w:szCs w:val="20"/>
        </w:rPr>
        <w:t xml:space="preserve">mluvného obdobia. Vyhodnotenie vykoná </w:t>
      </w:r>
      <w:r w:rsidR="00FD7D59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 najneskôr 30 dní po ukončení zmluvného obdobia. V prípade viacročnej Zmluvy vykoná </w:t>
      </w:r>
      <w:r w:rsidR="0001096F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 vyhodnotenie skutočne odobratej elektriny za každý rok samostatne, vždy k 31.12. V prípade prekročenia dohodnutého maximálneho množstva odobratej elektriny môže </w:t>
      </w:r>
      <w:r w:rsidR="0001096F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 toto vyhodnotenie uskutočniť aj počas </w:t>
      </w:r>
      <w:r w:rsidR="00D12202">
        <w:rPr>
          <w:rFonts w:ascii="Arial" w:hAnsi="Arial" w:cs="Arial"/>
          <w:sz w:val="20"/>
          <w:szCs w:val="20"/>
        </w:rPr>
        <w:t>z</w:t>
      </w:r>
      <w:r w:rsidRPr="00DE7D44">
        <w:rPr>
          <w:rFonts w:ascii="Arial" w:hAnsi="Arial" w:cs="Arial"/>
          <w:sz w:val="20"/>
          <w:szCs w:val="20"/>
        </w:rPr>
        <w:t>mluvného obdobia, a to najmä v prípade, ak je zrejmé, že s prihliadnutím na všetky okolnosti dôjde ku prekročeniu</w:t>
      </w:r>
      <w:r w:rsidR="00193E5E" w:rsidRPr="00DE7D44">
        <w:rPr>
          <w:rFonts w:ascii="Arial" w:hAnsi="Arial" w:cs="Arial"/>
          <w:sz w:val="20"/>
          <w:szCs w:val="20"/>
        </w:rPr>
        <w:t xml:space="preserve"> predpokladaného ročného množstva elektriny.</w:t>
      </w:r>
    </w:p>
    <w:p w14:paraId="6FFFDACC" w14:textId="3479BD58" w:rsidR="00071E2D" w:rsidRPr="0001096F" w:rsidRDefault="00071E2D" w:rsidP="0001096F">
      <w:pPr>
        <w:pStyle w:val="Nadpis1"/>
        <w:numPr>
          <w:ilvl w:val="0"/>
          <w:numId w:val="12"/>
        </w:numPr>
        <w:spacing w:before="160" w:after="160" w:line="240" w:lineRule="auto"/>
        <w:ind w:left="0" w:hanging="567"/>
        <w:jc w:val="both"/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</w:pPr>
      <w:r w:rsidRPr="0001096F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M</w:t>
      </w:r>
      <w:r w:rsidR="0001096F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ožnosť</w:t>
      </w:r>
      <w:r w:rsidRPr="0001096F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2: Nákup na krátkodobom trhu s elektrinou</w:t>
      </w:r>
    </w:p>
    <w:p w14:paraId="045C2BE2" w14:textId="64B167ED" w:rsidR="00A75215" w:rsidRPr="00DE7D44" w:rsidRDefault="00EC0E85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Pre </w:t>
      </w:r>
      <w:r w:rsidR="0001096F">
        <w:rPr>
          <w:rFonts w:ascii="Arial" w:hAnsi="Arial" w:cs="Arial"/>
          <w:sz w:val="20"/>
          <w:szCs w:val="20"/>
        </w:rPr>
        <w:t>s</w:t>
      </w:r>
      <w:r w:rsidRPr="00DE7D44">
        <w:rPr>
          <w:rFonts w:ascii="Arial" w:hAnsi="Arial" w:cs="Arial"/>
          <w:sz w:val="20"/>
          <w:szCs w:val="20"/>
        </w:rPr>
        <w:t>kupinu odberateľov s nákupom na krátkodobom trhu sa</w:t>
      </w:r>
      <w:r w:rsidR="00A75215" w:rsidRPr="00DE7D44">
        <w:rPr>
          <w:rFonts w:ascii="Arial" w:hAnsi="Arial" w:cs="Arial"/>
          <w:sz w:val="20"/>
          <w:szCs w:val="20"/>
        </w:rPr>
        <w:t xml:space="preserve"> jednotková cena silovej elektriny bude odvíjať od hodnoty SPOT-</w:t>
      </w:r>
      <w:proofErr w:type="spellStart"/>
      <w:r w:rsidR="00A75215" w:rsidRPr="00DE7D44">
        <w:rPr>
          <w:rFonts w:ascii="Arial" w:hAnsi="Arial" w:cs="Arial"/>
          <w:sz w:val="20"/>
          <w:szCs w:val="20"/>
        </w:rPr>
        <w:t>ového</w:t>
      </w:r>
      <w:proofErr w:type="spellEnd"/>
      <w:r w:rsidR="00A75215" w:rsidRPr="00DE7D44">
        <w:rPr>
          <w:rFonts w:ascii="Arial" w:hAnsi="Arial" w:cs="Arial"/>
          <w:sz w:val="20"/>
          <w:szCs w:val="20"/>
        </w:rPr>
        <w:t xml:space="preserve"> produktu. Cena za dodávku silovej elektriny do OM s </w:t>
      </w:r>
      <w:proofErr w:type="spellStart"/>
      <w:r w:rsidR="00A75215" w:rsidRPr="00DE7D44">
        <w:rPr>
          <w:rFonts w:ascii="Arial" w:hAnsi="Arial" w:cs="Arial"/>
          <w:sz w:val="20"/>
          <w:szCs w:val="20"/>
        </w:rPr>
        <w:t>priebehovým</w:t>
      </w:r>
      <w:proofErr w:type="spellEnd"/>
      <w:r w:rsidR="00A75215" w:rsidRPr="00DE7D44">
        <w:rPr>
          <w:rFonts w:ascii="Arial" w:hAnsi="Arial" w:cs="Arial"/>
          <w:sz w:val="20"/>
          <w:szCs w:val="20"/>
        </w:rPr>
        <w:t xml:space="preserve"> meraním </w:t>
      </w:r>
      <w:r w:rsidR="00E3157F" w:rsidRPr="00DE7D44">
        <w:rPr>
          <w:rFonts w:ascii="Arial" w:hAnsi="Arial" w:cs="Arial"/>
          <w:sz w:val="20"/>
          <w:szCs w:val="20"/>
        </w:rPr>
        <w:t>v</w:t>
      </w:r>
      <w:r w:rsidR="00A75215" w:rsidRPr="00DE7D44">
        <w:rPr>
          <w:rFonts w:ascii="Arial" w:hAnsi="Arial" w:cs="Arial"/>
          <w:sz w:val="20"/>
          <w:szCs w:val="20"/>
        </w:rPr>
        <w:t xml:space="preserve"> príslušn</w:t>
      </w:r>
      <w:r w:rsidR="00E3157F" w:rsidRPr="00DE7D44">
        <w:rPr>
          <w:rFonts w:ascii="Arial" w:hAnsi="Arial" w:cs="Arial"/>
          <w:sz w:val="20"/>
          <w:szCs w:val="20"/>
        </w:rPr>
        <w:t>om</w:t>
      </w:r>
      <w:r w:rsidR="00A75215" w:rsidRPr="00DE7D44">
        <w:rPr>
          <w:rFonts w:ascii="Arial" w:hAnsi="Arial" w:cs="Arial"/>
          <w:sz w:val="20"/>
          <w:szCs w:val="20"/>
        </w:rPr>
        <w:t xml:space="preserve"> kalendárn</w:t>
      </w:r>
      <w:r w:rsidR="00E3157F" w:rsidRPr="00DE7D44">
        <w:rPr>
          <w:rFonts w:ascii="Arial" w:hAnsi="Arial" w:cs="Arial"/>
          <w:sz w:val="20"/>
          <w:szCs w:val="20"/>
        </w:rPr>
        <w:t>om</w:t>
      </w:r>
      <w:r w:rsidR="00A75215" w:rsidRPr="00DE7D44">
        <w:rPr>
          <w:rFonts w:ascii="Arial" w:hAnsi="Arial" w:cs="Arial"/>
          <w:sz w:val="20"/>
          <w:szCs w:val="20"/>
        </w:rPr>
        <w:t xml:space="preserve"> mesiac</w:t>
      </w:r>
      <w:r w:rsidR="00E3157F" w:rsidRPr="00DE7D44">
        <w:rPr>
          <w:rFonts w:ascii="Arial" w:hAnsi="Arial" w:cs="Arial"/>
          <w:sz w:val="20"/>
          <w:szCs w:val="20"/>
        </w:rPr>
        <w:t>i</w:t>
      </w:r>
      <w:r w:rsidR="00CC6987" w:rsidRPr="00DE7D44">
        <w:rPr>
          <w:rFonts w:ascii="Arial" w:hAnsi="Arial" w:cs="Arial"/>
          <w:sz w:val="20"/>
          <w:szCs w:val="20"/>
        </w:rPr>
        <w:t xml:space="preserve"> M</w:t>
      </w:r>
      <w:r w:rsidR="00A75215" w:rsidRPr="00DE7D44">
        <w:rPr>
          <w:rFonts w:ascii="Arial" w:hAnsi="Arial" w:cs="Arial"/>
          <w:sz w:val="20"/>
          <w:szCs w:val="20"/>
        </w:rPr>
        <w:t xml:space="preserve"> sa stanoví podľa nasledujúceho vzorca: </w:t>
      </w:r>
    </w:p>
    <w:p w14:paraId="0D3376BD" w14:textId="31416000" w:rsidR="00A75215" w:rsidRPr="00D12202" w:rsidRDefault="00000000" w:rsidP="00DE7D44">
      <w:pPr>
        <w:jc w:val="both"/>
        <w:rPr>
          <w:rFonts w:ascii="Arial" w:hAnsi="Arial" w:cs="Arial"/>
          <w:b/>
          <w:bCs/>
          <w:sz w:val="20"/>
          <w:szCs w:val="20"/>
          <w:lang w:bidi="sk-SK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bCs/>
                  <w:sz w:val="20"/>
                  <w:szCs w:val="20"/>
                  <w:lang w:bidi="sk-SK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  <w:lang w:bidi="sk-SK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  <w:lang w:bidi="sk-SK"/>
                </w:rPr>
                <m:t>M</m:t>
              </m:r>
            </m:sub>
          </m:sSub>
          <m:r>
            <m:rPr>
              <m:sty m:val="b"/>
            </m:rPr>
            <w:rPr>
              <w:rFonts w:ascii="Cambria Math" w:hAnsi="Cambria Math" w:cs="Arial"/>
              <w:sz w:val="20"/>
              <w:szCs w:val="20"/>
              <w:lang w:bidi="sk-SK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b/>
                  <w:bCs/>
                  <w:sz w:val="20"/>
                  <w:szCs w:val="20"/>
                  <w:lang w:bidi="sk-SK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  <w:lang w:bidi="sk-SK"/>
                </w:rPr>
                <m:t>h=1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  <w:lang w:bidi="sk-SK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sz w:val="20"/>
                      <w:szCs w:val="20"/>
                      <w:lang w:bidi="sk-SK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Arial"/>
                          <w:b/>
                          <w:bCs/>
                          <w:sz w:val="20"/>
                          <w:szCs w:val="20"/>
                          <w:lang w:bidi="sk-SK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sz w:val="20"/>
                              <w:szCs w:val="20"/>
                              <w:lang w:bidi="sk-SK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bidi="sk-SK"/>
                            </w:rPr>
                            <m:t>SPOT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bidi="sk-SK"/>
                            </w:rPr>
                            <m:t>Mh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bidi="sk-SK"/>
                        </w:rPr>
                        <m:t>+AdS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  <w:lang w:bidi="sk-SK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sz w:val="20"/>
                          <w:szCs w:val="20"/>
                          <w:lang w:bidi="sk-SK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bidi="sk-SK"/>
                        </w:rPr>
                        <m:t>Q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bidi="sk-SK"/>
                        </w:rPr>
                        <m:t>Mh</m:t>
                      </m:r>
                    </m:sub>
                  </m:sSub>
                </m:e>
              </m:d>
            </m:e>
          </m:nary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lang w:bidi="sk-SK"/>
            </w:rPr>
            <m:t xml:space="preserve"> [EUR]</m:t>
          </m:r>
        </m:oMath>
      </m:oMathPara>
    </w:p>
    <w:p w14:paraId="7551A529" w14:textId="7A61FBA1" w:rsidR="00A75215" w:rsidRPr="00DE7D44" w:rsidRDefault="00E3157F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</w:t>
      </w:r>
      <w:r w:rsidR="00A75215" w:rsidRPr="00DE7D44">
        <w:rPr>
          <w:rFonts w:ascii="Arial" w:hAnsi="Arial" w:cs="Arial"/>
          <w:sz w:val="20"/>
          <w:szCs w:val="20"/>
        </w:rPr>
        <w:t xml:space="preserve">de: </w:t>
      </w:r>
    </w:p>
    <w:p w14:paraId="582949EE" w14:textId="7F34E597" w:rsidR="00E3157F" w:rsidRPr="00DE7D44" w:rsidRDefault="00A75215" w:rsidP="00D12202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16006">
        <w:rPr>
          <w:rFonts w:ascii="Arial" w:hAnsi="Arial" w:cs="Arial"/>
          <w:b/>
          <w:bCs/>
          <w:sz w:val="20"/>
          <w:szCs w:val="20"/>
        </w:rPr>
        <w:t>m</w:t>
      </w:r>
      <w:r w:rsidRPr="00DE7D44">
        <w:rPr>
          <w:rFonts w:ascii="Arial" w:hAnsi="Arial" w:cs="Arial"/>
          <w:sz w:val="20"/>
          <w:szCs w:val="20"/>
        </w:rPr>
        <w:t xml:space="preserve"> </w:t>
      </w:r>
      <w:r w:rsidR="00607E8F" w:rsidRPr="00DE7D44">
        <w:rPr>
          <w:rFonts w:ascii="Arial" w:hAnsi="Arial" w:cs="Arial"/>
          <w:sz w:val="20"/>
          <w:szCs w:val="20"/>
        </w:rPr>
        <w:t xml:space="preserve">je </w:t>
      </w:r>
      <w:r w:rsidRPr="00DE7D44">
        <w:rPr>
          <w:rFonts w:ascii="Arial" w:hAnsi="Arial" w:cs="Arial"/>
          <w:sz w:val="20"/>
          <w:szCs w:val="20"/>
        </w:rPr>
        <w:t xml:space="preserve">počet hodín v príslušnom kalendárnom mesiaci M </w:t>
      </w:r>
    </w:p>
    <w:p w14:paraId="6DC24D35" w14:textId="070A7456" w:rsidR="00E3157F" w:rsidRPr="00DE7D44" w:rsidRDefault="00A75215" w:rsidP="00D12202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16006">
        <w:rPr>
          <w:rFonts w:ascii="Arial" w:hAnsi="Arial" w:cs="Arial"/>
          <w:b/>
          <w:bCs/>
          <w:sz w:val="20"/>
          <w:szCs w:val="20"/>
        </w:rPr>
        <w:t>h</w:t>
      </w:r>
      <w:r w:rsidRPr="00DE7D44">
        <w:rPr>
          <w:rFonts w:ascii="Arial" w:hAnsi="Arial" w:cs="Arial"/>
          <w:sz w:val="20"/>
          <w:szCs w:val="20"/>
        </w:rPr>
        <w:t xml:space="preserve"> </w:t>
      </w:r>
      <w:r w:rsidR="00607E8F" w:rsidRPr="00DE7D44">
        <w:rPr>
          <w:rFonts w:ascii="Arial" w:hAnsi="Arial" w:cs="Arial"/>
          <w:sz w:val="20"/>
          <w:szCs w:val="20"/>
        </w:rPr>
        <w:t>je</w:t>
      </w:r>
      <w:r w:rsidRPr="00DE7D44">
        <w:rPr>
          <w:rFonts w:ascii="Arial" w:hAnsi="Arial" w:cs="Arial"/>
          <w:sz w:val="20"/>
          <w:szCs w:val="20"/>
        </w:rPr>
        <w:t xml:space="preserve"> poradie hodiny v príslušnom kalendárnom mesiaci M </w:t>
      </w:r>
    </w:p>
    <w:p w14:paraId="6CE55AFA" w14:textId="647E74F2" w:rsidR="00A75215" w:rsidRPr="00DE7D44" w:rsidRDefault="00A75215" w:rsidP="00D12202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21C91">
        <w:rPr>
          <w:rFonts w:ascii="Arial" w:hAnsi="Arial" w:cs="Arial"/>
          <w:b/>
          <w:bCs/>
          <w:sz w:val="20"/>
          <w:szCs w:val="20"/>
        </w:rPr>
        <w:t>SPOTMh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je spotová cena za hodinu h </w:t>
      </w:r>
      <w:r w:rsidR="00B54664" w:rsidRPr="00DE7D44">
        <w:rPr>
          <w:rFonts w:ascii="Arial" w:hAnsi="Arial" w:cs="Arial"/>
          <w:sz w:val="20"/>
          <w:szCs w:val="20"/>
        </w:rPr>
        <w:t xml:space="preserve">v </w:t>
      </w:r>
      <w:r w:rsidRPr="00DE7D44">
        <w:rPr>
          <w:rFonts w:ascii="Arial" w:hAnsi="Arial" w:cs="Arial"/>
          <w:sz w:val="20"/>
          <w:szCs w:val="20"/>
        </w:rPr>
        <w:t xml:space="preserve">EUR/MWh v obchodnej oblasti SEPS zverejňovaná spoločnosťou OKTE, a.s. na: </w:t>
      </w:r>
      <w:hyperlink r:id="rId12" w:history="1">
        <w:r w:rsidR="00607E8F" w:rsidRPr="00DE7D44">
          <w:rPr>
            <w:rStyle w:val="Hypertextovprepojenie"/>
            <w:rFonts w:ascii="Arial" w:hAnsi="Arial" w:cs="Arial"/>
            <w:sz w:val="20"/>
            <w:szCs w:val="20"/>
          </w:rPr>
          <w:t>https://www.okte.sk/sk/kratkodoby-trh/zverejnenie-udajov-dt/celkove-vysledky-dt/</w:t>
        </w:r>
      </w:hyperlink>
      <w:r w:rsidR="00607E8F" w:rsidRPr="00DE7D44">
        <w:rPr>
          <w:rFonts w:ascii="Arial" w:hAnsi="Arial" w:cs="Arial"/>
          <w:sz w:val="20"/>
          <w:szCs w:val="20"/>
        </w:rPr>
        <w:t xml:space="preserve">. </w:t>
      </w:r>
      <w:r w:rsidRPr="00DE7D44">
        <w:rPr>
          <w:rFonts w:ascii="Arial" w:hAnsi="Arial" w:cs="Arial"/>
          <w:sz w:val="20"/>
          <w:szCs w:val="20"/>
        </w:rPr>
        <w:t xml:space="preserve">V prípade, že sa umiestnenie príslušných hodnôt denného trhu zmení, dodávateľ </w:t>
      </w:r>
      <w:r w:rsidR="00E31291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pre stanovenie ceny použije príslušné hodnoty zo zodpovedajúceho dostupného umiestnenia </w:t>
      </w:r>
      <w:r w:rsidR="00E31291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na webovej adrese spoločnosti OKTE, a.s.  </w:t>
      </w:r>
    </w:p>
    <w:p w14:paraId="02D582D3" w14:textId="77777777" w:rsidR="008A4C93" w:rsidRPr="00DE7D44" w:rsidRDefault="008A4C93" w:rsidP="00D12202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E31291">
        <w:rPr>
          <w:rFonts w:ascii="Arial" w:hAnsi="Arial" w:cs="Arial"/>
          <w:b/>
          <w:bCs/>
          <w:sz w:val="20"/>
          <w:szCs w:val="20"/>
        </w:rPr>
        <w:t>AdS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je cenový aditív pre spot zohľadňujúci služby obchodníka v EUR/MWh.</w:t>
      </w:r>
    </w:p>
    <w:p w14:paraId="500C6040" w14:textId="1EB49618" w:rsidR="00A75215" w:rsidRPr="00DE7D44" w:rsidRDefault="00A75215" w:rsidP="00D12202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E31291">
        <w:rPr>
          <w:rFonts w:ascii="Arial" w:hAnsi="Arial" w:cs="Arial"/>
          <w:b/>
          <w:bCs/>
          <w:sz w:val="20"/>
          <w:szCs w:val="20"/>
        </w:rPr>
        <w:t>QMh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</w:t>
      </w:r>
      <w:r w:rsidR="00B54664" w:rsidRPr="00DE7D44">
        <w:rPr>
          <w:rFonts w:ascii="Arial" w:hAnsi="Arial" w:cs="Arial"/>
          <w:sz w:val="20"/>
          <w:szCs w:val="20"/>
        </w:rPr>
        <w:t>je</w:t>
      </w:r>
      <w:r w:rsidRPr="00DE7D44">
        <w:rPr>
          <w:rFonts w:ascii="Arial" w:hAnsi="Arial" w:cs="Arial"/>
          <w:sz w:val="20"/>
          <w:szCs w:val="20"/>
        </w:rPr>
        <w:t xml:space="preserve"> množstvo spotrebovanej elektriny v hodine h príslušného mesiaca M</w:t>
      </w:r>
      <w:r w:rsidR="00EC1749" w:rsidRPr="00DE7D44">
        <w:rPr>
          <w:rFonts w:ascii="Arial" w:hAnsi="Arial" w:cs="Arial"/>
          <w:sz w:val="20"/>
          <w:szCs w:val="20"/>
        </w:rPr>
        <w:t>.</w:t>
      </w:r>
    </w:p>
    <w:p w14:paraId="46E82B2F" w14:textId="766119CD" w:rsidR="00A75215" w:rsidRPr="00DE7D44" w:rsidRDefault="00A75215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Následne sa jednotková cena za dodávku elektriny urči spôsobom: </w:t>
      </w:r>
    </w:p>
    <w:p w14:paraId="53CD8350" w14:textId="17549161" w:rsidR="00A75215" w:rsidRPr="00342208" w:rsidRDefault="00EC1749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42208">
        <w:rPr>
          <w:rFonts w:ascii="Arial" w:hAnsi="Arial" w:cs="Arial"/>
          <w:b/>
          <w:bCs/>
          <w:sz w:val="20"/>
          <w:szCs w:val="20"/>
        </w:rPr>
        <w:t>JCE = PM / QO [EUR/MWh]</w:t>
      </w:r>
    </w:p>
    <w:p w14:paraId="67F79279" w14:textId="1AC77B33" w:rsidR="00A75215" w:rsidRPr="00DE7D44" w:rsidRDefault="00A75215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pričom: </w:t>
      </w:r>
    </w:p>
    <w:p w14:paraId="68696BC8" w14:textId="33DFB81F" w:rsidR="00A75215" w:rsidRPr="00342208" w:rsidRDefault="00A75215" w:rsidP="00342208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2208">
        <w:rPr>
          <w:rFonts w:ascii="Arial" w:hAnsi="Arial" w:cs="Arial"/>
          <w:b/>
          <w:bCs/>
          <w:sz w:val="20"/>
          <w:szCs w:val="20"/>
        </w:rPr>
        <w:t xml:space="preserve">PM </w:t>
      </w:r>
      <w:r w:rsidRPr="00342208">
        <w:rPr>
          <w:rFonts w:ascii="Arial" w:hAnsi="Arial" w:cs="Arial"/>
          <w:sz w:val="20"/>
          <w:szCs w:val="20"/>
        </w:rPr>
        <w:t>je cena za dodávku elektriny za príslušný kalendárny mesiac M</w:t>
      </w:r>
      <w:r w:rsidR="00D8777C">
        <w:rPr>
          <w:rFonts w:ascii="Arial" w:hAnsi="Arial" w:cs="Arial"/>
          <w:sz w:val="20"/>
          <w:szCs w:val="20"/>
        </w:rPr>
        <w:t>.</w:t>
      </w:r>
    </w:p>
    <w:p w14:paraId="7DFF08DC" w14:textId="28A7566E" w:rsidR="00A75215" w:rsidRPr="00342208" w:rsidRDefault="00A75215" w:rsidP="00342208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2208">
        <w:rPr>
          <w:rFonts w:ascii="Arial" w:hAnsi="Arial" w:cs="Arial"/>
          <w:b/>
          <w:bCs/>
          <w:sz w:val="20"/>
          <w:szCs w:val="20"/>
        </w:rPr>
        <w:t xml:space="preserve">QO </w:t>
      </w:r>
      <w:r w:rsidRPr="00342208">
        <w:rPr>
          <w:rFonts w:ascii="Arial" w:hAnsi="Arial" w:cs="Arial"/>
          <w:sz w:val="20"/>
          <w:szCs w:val="20"/>
        </w:rPr>
        <w:t>je reálny odber elektriny v MWh v príslušnom mesiaci M</w:t>
      </w:r>
      <w:r w:rsidR="00D8777C">
        <w:rPr>
          <w:rFonts w:ascii="Arial" w:hAnsi="Arial" w:cs="Arial"/>
          <w:sz w:val="20"/>
          <w:szCs w:val="20"/>
        </w:rPr>
        <w:t>.</w:t>
      </w:r>
      <w:r w:rsidRPr="00342208">
        <w:rPr>
          <w:rFonts w:ascii="Arial" w:hAnsi="Arial" w:cs="Arial"/>
          <w:sz w:val="20"/>
          <w:szCs w:val="20"/>
        </w:rPr>
        <w:t xml:space="preserve"> </w:t>
      </w:r>
    </w:p>
    <w:p w14:paraId="790AFC34" w14:textId="6C58A036" w:rsidR="00A75215" w:rsidRPr="00DE7D44" w:rsidRDefault="00A75215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Jednotková cena za dodanie 1 MWh elektriny dodanej do OM bez inštalovaného </w:t>
      </w:r>
      <w:proofErr w:type="spellStart"/>
      <w:r w:rsidRPr="00DE7D44">
        <w:rPr>
          <w:rFonts w:ascii="Arial" w:hAnsi="Arial" w:cs="Arial"/>
          <w:sz w:val="20"/>
          <w:szCs w:val="20"/>
        </w:rPr>
        <w:t>priebehového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merania (meranie typu C s ročnou fakturáciou) v príslušnom kalendárnom roku je stanovená ako priemer cien pre všetky odberné miesta odberateľa s </w:t>
      </w:r>
      <w:proofErr w:type="spellStart"/>
      <w:r w:rsidRPr="00DE7D44">
        <w:rPr>
          <w:rFonts w:ascii="Arial" w:hAnsi="Arial" w:cs="Arial"/>
          <w:sz w:val="20"/>
          <w:szCs w:val="20"/>
        </w:rPr>
        <w:t>priebehovým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meraním typu A počas kalendárneho roka. </w:t>
      </w:r>
    </w:p>
    <w:p w14:paraId="607D6F8A" w14:textId="6D7FFBB7" w:rsidR="009705B6" w:rsidRPr="00DE7D44" w:rsidRDefault="00455150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br w:type="page"/>
      </w:r>
    </w:p>
    <w:p w14:paraId="2EBB7306" w14:textId="1DA80CFB" w:rsidR="00A81F7E" w:rsidRPr="00166769" w:rsidRDefault="00384D38" w:rsidP="00166769">
      <w:pPr>
        <w:pStyle w:val="Nadpis1"/>
        <w:numPr>
          <w:ilvl w:val="0"/>
          <w:numId w:val="12"/>
        </w:numPr>
        <w:spacing w:before="160" w:after="160" w:line="240" w:lineRule="auto"/>
        <w:ind w:left="0" w:hanging="567"/>
        <w:jc w:val="both"/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</w:pPr>
      <w:r w:rsidRPr="00166769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lastRenderedPageBreak/>
        <w:t>M</w:t>
      </w:r>
      <w:r w:rsidR="00166769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>ožnosť</w:t>
      </w:r>
      <w:r w:rsidRPr="00166769">
        <w:rPr>
          <w:rFonts w:ascii="ABC Camera Plain Medium" w:hAnsi="ABC Camera Plain Medium"/>
          <w:color w:val="754BFF"/>
          <w:kern w:val="0"/>
          <w:sz w:val="32"/>
          <w:szCs w:val="32"/>
          <w14:ligatures w14:val="none"/>
        </w:rPr>
        <w:t xml:space="preserve"> 3: Základné pásmo s bilancovaním zvyšku na krátkodobom trhu</w:t>
      </w:r>
    </w:p>
    <w:p w14:paraId="59FB5F1C" w14:textId="28A76889" w:rsidR="0089346B" w:rsidRPr="00DE7D44" w:rsidRDefault="0089346B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7D44">
        <w:rPr>
          <w:rFonts w:ascii="Arial" w:hAnsi="Arial" w:cs="Arial"/>
          <w:b/>
          <w:bCs/>
          <w:sz w:val="20"/>
          <w:szCs w:val="20"/>
        </w:rPr>
        <w:t>FORWARD</w:t>
      </w:r>
    </w:p>
    <w:p w14:paraId="2F333CB4" w14:textId="4FC8294A" w:rsidR="002A5F52" w:rsidRPr="00DE7D44" w:rsidRDefault="002A5F52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Skupina odberateľov môže pri nákupe základného pásma využívať</w:t>
      </w:r>
      <w:r w:rsidR="003A4440" w:rsidRPr="00DE7D44">
        <w:rPr>
          <w:rFonts w:ascii="Arial" w:hAnsi="Arial" w:cs="Arial"/>
          <w:sz w:val="20"/>
          <w:szCs w:val="20"/>
        </w:rPr>
        <w:t xml:space="preserve"> kvartálne a ročné produkty</w:t>
      </w:r>
      <w:r w:rsidR="00662299" w:rsidRPr="00DE7D44">
        <w:rPr>
          <w:rFonts w:ascii="Arial" w:hAnsi="Arial" w:cs="Arial"/>
          <w:sz w:val="20"/>
          <w:szCs w:val="20"/>
        </w:rPr>
        <w:t xml:space="preserve"> indexu</w:t>
      </w:r>
      <w:r w:rsidR="003A4440" w:rsidRPr="00DE7D44">
        <w:rPr>
          <w:rFonts w:ascii="Arial" w:hAnsi="Arial" w:cs="Arial"/>
          <w:sz w:val="20"/>
          <w:szCs w:val="20"/>
        </w:rPr>
        <w:t xml:space="preserve"> </w:t>
      </w:r>
      <w:r w:rsidR="00662299" w:rsidRPr="00DE7D44">
        <w:rPr>
          <w:rFonts w:ascii="Arial" w:hAnsi="Arial" w:cs="Arial"/>
          <w:sz w:val="20"/>
          <w:szCs w:val="20"/>
        </w:rPr>
        <w:t>„</w:t>
      </w:r>
      <w:proofErr w:type="spellStart"/>
      <w:r w:rsidR="00662299" w:rsidRPr="00DE7D44">
        <w:rPr>
          <w:rFonts w:ascii="Arial" w:hAnsi="Arial" w:cs="Arial"/>
          <w:sz w:val="20"/>
          <w:szCs w:val="20"/>
        </w:rPr>
        <w:t>Slovakian</w:t>
      </w:r>
      <w:proofErr w:type="spellEnd"/>
      <w:r w:rsidR="00662299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2299" w:rsidRPr="00DE7D44">
        <w:rPr>
          <w:rFonts w:ascii="Arial" w:hAnsi="Arial" w:cs="Arial"/>
          <w:sz w:val="20"/>
          <w:szCs w:val="20"/>
        </w:rPr>
        <w:t>Power</w:t>
      </w:r>
      <w:proofErr w:type="spellEnd"/>
      <w:r w:rsidR="00662299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2299" w:rsidRPr="00DE7D44">
        <w:rPr>
          <w:rFonts w:ascii="Arial" w:hAnsi="Arial" w:cs="Arial"/>
          <w:sz w:val="20"/>
          <w:szCs w:val="20"/>
        </w:rPr>
        <w:t>Futures</w:t>
      </w:r>
      <w:proofErr w:type="spellEnd"/>
      <w:r w:rsidR="00662299" w:rsidRPr="00DE7D44">
        <w:rPr>
          <w:rFonts w:ascii="Arial" w:hAnsi="Arial" w:cs="Arial"/>
          <w:sz w:val="20"/>
          <w:szCs w:val="20"/>
        </w:rPr>
        <w:t>“</w:t>
      </w:r>
      <w:r w:rsidR="00B65435" w:rsidRPr="00DE7D44">
        <w:rPr>
          <w:rFonts w:ascii="Arial" w:hAnsi="Arial" w:cs="Arial"/>
          <w:sz w:val="20"/>
          <w:szCs w:val="20"/>
        </w:rPr>
        <w:t xml:space="preserve"> (ďalej len „index PXE-SK“</w:t>
      </w:r>
      <w:r w:rsidR="003A3C60" w:rsidRPr="00DE7D44">
        <w:rPr>
          <w:rFonts w:ascii="Arial" w:hAnsi="Arial" w:cs="Arial"/>
          <w:sz w:val="20"/>
          <w:szCs w:val="20"/>
        </w:rPr>
        <w:t>)</w:t>
      </w:r>
      <w:r w:rsidR="00850278" w:rsidRPr="00DE7D44">
        <w:rPr>
          <w:rFonts w:ascii="Arial" w:hAnsi="Arial" w:cs="Arial"/>
          <w:sz w:val="20"/>
          <w:szCs w:val="20"/>
        </w:rPr>
        <w:t>, ktorými</w:t>
      </w:r>
      <w:r w:rsidR="007C6846" w:rsidRPr="00DE7D44">
        <w:rPr>
          <w:rFonts w:ascii="Arial" w:hAnsi="Arial" w:cs="Arial"/>
          <w:sz w:val="20"/>
          <w:szCs w:val="20"/>
        </w:rPr>
        <w:t xml:space="preserve"> môže pokryť 20% - </w:t>
      </w:r>
      <w:r w:rsidR="00CB01D9" w:rsidRPr="00DE7D44">
        <w:rPr>
          <w:rFonts w:ascii="Arial" w:hAnsi="Arial" w:cs="Arial"/>
          <w:sz w:val="20"/>
          <w:szCs w:val="20"/>
        </w:rPr>
        <w:t>8</w:t>
      </w:r>
      <w:r w:rsidR="007C6846" w:rsidRPr="00DE7D44">
        <w:rPr>
          <w:rFonts w:ascii="Arial" w:hAnsi="Arial" w:cs="Arial"/>
          <w:sz w:val="20"/>
          <w:szCs w:val="20"/>
        </w:rPr>
        <w:t>0% predpokladaného ročného množstva</w:t>
      </w:r>
      <w:r w:rsidR="003A3C60" w:rsidRPr="00DE7D44">
        <w:rPr>
          <w:rFonts w:ascii="Arial" w:hAnsi="Arial" w:cs="Arial"/>
          <w:sz w:val="20"/>
          <w:szCs w:val="20"/>
        </w:rPr>
        <w:t xml:space="preserve">. </w:t>
      </w:r>
      <w:r w:rsidR="00442384" w:rsidRPr="00DE7D44">
        <w:rPr>
          <w:rFonts w:ascii="Arial" w:hAnsi="Arial" w:cs="Arial"/>
          <w:sz w:val="20"/>
          <w:szCs w:val="20"/>
        </w:rPr>
        <w:t>Skupina odberateľov</w:t>
      </w:r>
      <w:r w:rsidR="003A3C60" w:rsidRPr="00DE7D44">
        <w:rPr>
          <w:rFonts w:ascii="Arial" w:hAnsi="Arial" w:cs="Arial"/>
          <w:sz w:val="20"/>
          <w:szCs w:val="20"/>
        </w:rPr>
        <w:t xml:space="preserve"> pre príslušný kalendárny štvrťrok</w:t>
      </w:r>
      <w:r w:rsidR="00512DE9" w:rsidRPr="00DE7D44">
        <w:rPr>
          <w:rFonts w:ascii="Arial" w:hAnsi="Arial" w:cs="Arial"/>
          <w:sz w:val="20"/>
          <w:szCs w:val="20"/>
        </w:rPr>
        <w:t>/rok</w:t>
      </w:r>
      <w:r w:rsidR="003A3C60" w:rsidRPr="00DE7D44">
        <w:rPr>
          <w:rFonts w:ascii="Arial" w:hAnsi="Arial" w:cs="Arial"/>
          <w:sz w:val="20"/>
          <w:szCs w:val="20"/>
        </w:rPr>
        <w:t xml:space="preserve"> určí množstvo, ktoré požaduje oceniť cenou s použitím burzového indexu PXE-SK. Dodávateľ ocení množstvo určené podľa predchádzajúcej vety cenou s použitím príslušného burzového indexu. Súčet množstiev ocenených v príslušnom kalendárnom štvrťroku</w:t>
      </w:r>
      <w:r w:rsidR="00512DE9" w:rsidRPr="00DE7D44">
        <w:rPr>
          <w:rFonts w:ascii="Arial" w:hAnsi="Arial" w:cs="Arial"/>
          <w:sz w:val="20"/>
          <w:szCs w:val="20"/>
        </w:rPr>
        <w:t>/roku</w:t>
      </w:r>
      <w:r w:rsidR="003A3C60" w:rsidRPr="00DE7D44">
        <w:rPr>
          <w:rFonts w:ascii="Arial" w:hAnsi="Arial" w:cs="Arial"/>
          <w:sz w:val="20"/>
          <w:szCs w:val="20"/>
        </w:rPr>
        <w:t xml:space="preserve"> podľa tohto bodu nesmie presiahnuť </w:t>
      </w:r>
      <w:r w:rsidR="000C3E17" w:rsidRPr="00DE7D44">
        <w:rPr>
          <w:rFonts w:ascii="Arial" w:hAnsi="Arial" w:cs="Arial"/>
          <w:sz w:val="20"/>
          <w:szCs w:val="20"/>
        </w:rPr>
        <w:t xml:space="preserve">20% - </w:t>
      </w:r>
      <w:r w:rsidR="00CB01D9" w:rsidRPr="00DE7D44">
        <w:rPr>
          <w:rFonts w:ascii="Arial" w:hAnsi="Arial" w:cs="Arial"/>
          <w:sz w:val="20"/>
          <w:szCs w:val="20"/>
        </w:rPr>
        <w:t>8</w:t>
      </w:r>
      <w:r w:rsidR="000C3E17" w:rsidRPr="00DE7D44">
        <w:rPr>
          <w:rFonts w:ascii="Arial" w:hAnsi="Arial" w:cs="Arial"/>
          <w:sz w:val="20"/>
          <w:szCs w:val="20"/>
        </w:rPr>
        <w:t>0%</w:t>
      </w:r>
      <w:r w:rsidR="003A3C60" w:rsidRPr="00DE7D44">
        <w:rPr>
          <w:rFonts w:ascii="Arial" w:hAnsi="Arial" w:cs="Arial"/>
          <w:sz w:val="20"/>
          <w:szCs w:val="20"/>
        </w:rPr>
        <w:t xml:space="preserve"> </w:t>
      </w:r>
      <w:r w:rsidR="00602012" w:rsidRPr="00DE7D44">
        <w:rPr>
          <w:rFonts w:ascii="Arial" w:hAnsi="Arial" w:cs="Arial"/>
          <w:sz w:val="20"/>
          <w:szCs w:val="20"/>
        </w:rPr>
        <w:t>predpokladaného štvrťročného</w:t>
      </w:r>
      <w:r w:rsidR="00512DE9" w:rsidRPr="00DE7D44">
        <w:rPr>
          <w:rFonts w:ascii="Arial" w:hAnsi="Arial" w:cs="Arial"/>
          <w:sz w:val="20"/>
          <w:szCs w:val="20"/>
        </w:rPr>
        <w:t>/ročného</w:t>
      </w:r>
      <w:r w:rsidR="00602012" w:rsidRPr="00DE7D44">
        <w:rPr>
          <w:rFonts w:ascii="Arial" w:hAnsi="Arial" w:cs="Arial"/>
          <w:sz w:val="20"/>
          <w:szCs w:val="20"/>
        </w:rPr>
        <w:t xml:space="preserve"> množstva</w:t>
      </w:r>
      <w:r w:rsidR="003A3C60" w:rsidRPr="00DE7D44">
        <w:rPr>
          <w:rFonts w:ascii="Arial" w:hAnsi="Arial" w:cs="Arial"/>
          <w:sz w:val="20"/>
          <w:szCs w:val="20"/>
        </w:rPr>
        <w:t xml:space="preserve"> pre daný kalendárny štvrťrok</w:t>
      </w:r>
      <w:r w:rsidR="00512DE9" w:rsidRPr="00DE7D44">
        <w:rPr>
          <w:rFonts w:ascii="Arial" w:hAnsi="Arial" w:cs="Arial"/>
          <w:sz w:val="20"/>
          <w:szCs w:val="20"/>
        </w:rPr>
        <w:t>/rok</w:t>
      </w:r>
      <w:r w:rsidR="003A3C60" w:rsidRPr="00DE7D44">
        <w:rPr>
          <w:rFonts w:ascii="Arial" w:hAnsi="Arial" w:cs="Arial"/>
          <w:sz w:val="20"/>
          <w:szCs w:val="20"/>
        </w:rPr>
        <w:t xml:space="preserve">. </w:t>
      </w:r>
      <w:r w:rsidR="001936ED">
        <w:rPr>
          <w:rFonts w:ascii="Arial" w:hAnsi="Arial" w:cs="Arial"/>
          <w:sz w:val="20"/>
          <w:szCs w:val="20"/>
        </w:rPr>
        <w:br/>
      </w:r>
      <w:r w:rsidR="003A3C60" w:rsidRPr="00DE7D44">
        <w:rPr>
          <w:rFonts w:ascii="Arial" w:hAnsi="Arial" w:cs="Arial"/>
          <w:sz w:val="20"/>
          <w:szCs w:val="20"/>
        </w:rPr>
        <w:t xml:space="preserve">V prípade, ak by požiadavka na ocenenie znamenala </w:t>
      </w:r>
      <w:r w:rsidR="00602012" w:rsidRPr="00DE7D44">
        <w:rPr>
          <w:rFonts w:ascii="Arial" w:hAnsi="Arial" w:cs="Arial"/>
          <w:sz w:val="20"/>
          <w:szCs w:val="20"/>
        </w:rPr>
        <w:t xml:space="preserve">prekročenie </w:t>
      </w:r>
      <w:r w:rsidR="00D16DF2" w:rsidRPr="00DE7D44">
        <w:rPr>
          <w:rFonts w:ascii="Arial" w:hAnsi="Arial" w:cs="Arial"/>
          <w:sz w:val="20"/>
          <w:szCs w:val="20"/>
        </w:rPr>
        <w:t>20</w:t>
      </w:r>
      <w:r w:rsidR="00602012" w:rsidRPr="00DE7D44">
        <w:rPr>
          <w:rFonts w:ascii="Arial" w:hAnsi="Arial" w:cs="Arial"/>
          <w:sz w:val="20"/>
          <w:szCs w:val="20"/>
        </w:rPr>
        <w:t>%</w:t>
      </w:r>
      <w:r w:rsidR="00D16DF2" w:rsidRPr="00DE7D44">
        <w:rPr>
          <w:rFonts w:ascii="Arial" w:hAnsi="Arial" w:cs="Arial"/>
          <w:sz w:val="20"/>
          <w:szCs w:val="20"/>
        </w:rPr>
        <w:t xml:space="preserve"> - </w:t>
      </w:r>
      <w:r w:rsidR="00CB01D9" w:rsidRPr="00DE7D44">
        <w:rPr>
          <w:rFonts w:ascii="Arial" w:hAnsi="Arial" w:cs="Arial"/>
          <w:sz w:val="20"/>
          <w:szCs w:val="20"/>
        </w:rPr>
        <w:t>8</w:t>
      </w:r>
      <w:r w:rsidR="00D16DF2" w:rsidRPr="00DE7D44">
        <w:rPr>
          <w:rFonts w:ascii="Arial" w:hAnsi="Arial" w:cs="Arial"/>
          <w:sz w:val="20"/>
          <w:szCs w:val="20"/>
        </w:rPr>
        <w:t>0%</w:t>
      </w:r>
      <w:r w:rsidR="00602012" w:rsidRPr="00DE7D44">
        <w:rPr>
          <w:rFonts w:ascii="Arial" w:hAnsi="Arial" w:cs="Arial"/>
          <w:sz w:val="20"/>
          <w:szCs w:val="20"/>
        </w:rPr>
        <w:t xml:space="preserve"> predpokladaného štvrťročného</w:t>
      </w:r>
      <w:r w:rsidR="00512DE9" w:rsidRPr="00DE7D44">
        <w:rPr>
          <w:rFonts w:ascii="Arial" w:hAnsi="Arial" w:cs="Arial"/>
          <w:sz w:val="20"/>
          <w:szCs w:val="20"/>
        </w:rPr>
        <w:t>/ročného</w:t>
      </w:r>
      <w:r w:rsidR="00602012" w:rsidRPr="00DE7D44">
        <w:rPr>
          <w:rFonts w:ascii="Arial" w:hAnsi="Arial" w:cs="Arial"/>
          <w:sz w:val="20"/>
          <w:szCs w:val="20"/>
        </w:rPr>
        <w:t xml:space="preserve"> množstva </w:t>
      </w:r>
      <w:r w:rsidR="003A3C60" w:rsidRPr="00DE7D44">
        <w:rPr>
          <w:rFonts w:ascii="Arial" w:hAnsi="Arial" w:cs="Arial"/>
          <w:sz w:val="20"/>
          <w:szCs w:val="20"/>
        </w:rPr>
        <w:t>podľa predchádzajúcej vety, považuje sa za neplatnú.</w:t>
      </w:r>
    </w:p>
    <w:p w14:paraId="2B5AB88F" w14:textId="12879B75" w:rsidR="00621CC3" w:rsidRPr="00DE7D44" w:rsidRDefault="001E7304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Skupina o</w:t>
      </w:r>
      <w:r w:rsidR="00621CC3" w:rsidRPr="00DE7D44">
        <w:rPr>
          <w:rFonts w:ascii="Arial" w:hAnsi="Arial" w:cs="Arial"/>
          <w:sz w:val="20"/>
          <w:szCs w:val="20"/>
        </w:rPr>
        <w:t>dberateľ</w:t>
      </w:r>
      <w:r w:rsidRPr="00DE7D44">
        <w:rPr>
          <w:rFonts w:ascii="Arial" w:hAnsi="Arial" w:cs="Arial"/>
          <w:sz w:val="20"/>
          <w:szCs w:val="20"/>
        </w:rPr>
        <w:t>ov</w:t>
      </w:r>
      <w:r w:rsidR="00621CC3" w:rsidRPr="00DE7D44">
        <w:rPr>
          <w:rFonts w:ascii="Arial" w:hAnsi="Arial" w:cs="Arial"/>
          <w:sz w:val="20"/>
          <w:szCs w:val="20"/>
        </w:rPr>
        <w:t xml:space="preserve"> zašle požiadavku na ocenenie e-mailom na adresu dodávateľa a následne danú požiadavku aj telefonicky potvrdí. </w:t>
      </w:r>
      <w:r w:rsidR="001A55A3" w:rsidRPr="00DE7D44">
        <w:rPr>
          <w:rFonts w:ascii="Arial" w:hAnsi="Arial" w:cs="Arial"/>
          <w:sz w:val="20"/>
          <w:szCs w:val="20"/>
        </w:rPr>
        <w:t>Skupina o</w:t>
      </w:r>
      <w:r w:rsidR="00621CC3" w:rsidRPr="00DE7D44">
        <w:rPr>
          <w:rFonts w:ascii="Arial" w:hAnsi="Arial" w:cs="Arial"/>
          <w:sz w:val="20"/>
          <w:szCs w:val="20"/>
        </w:rPr>
        <w:t>dberateľ</w:t>
      </w:r>
      <w:r w:rsidR="001A55A3" w:rsidRPr="00DE7D44">
        <w:rPr>
          <w:rFonts w:ascii="Arial" w:hAnsi="Arial" w:cs="Arial"/>
          <w:sz w:val="20"/>
          <w:szCs w:val="20"/>
        </w:rPr>
        <w:t>ov</w:t>
      </w:r>
      <w:r w:rsidR="00621CC3" w:rsidRPr="00DE7D44">
        <w:rPr>
          <w:rFonts w:ascii="Arial" w:hAnsi="Arial" w:cs="Arial"/>
          <w:sz w:val="20"/>
          <w:szCs w:val="20"/>
        </w:rPr>
        <w:t xml:space="preserve"> je oprávnen</w:t>
      </w:r>
      <w:r w:rsidR="001A55A3" w:rsidRPr="00DE7D44">
        <w:rPr>
          <w:rFonts w:ascii="Arial" w:hAnsi="Arial" w:cs="Arial"/>
          <w:sz w:val="20"/>
          <w:szCs w:val="20"/>
        </w:rPr>
        <w:t>á</w:t>
      </w:r>
      <w:r w:rsidR="00621CC3" w:rsidRPr="00DE7D44">
        <w:rPr>
          <w:rFonts w:ascii="Arial" w:hAnsi="Arial" w:cs="Arial"/>
          <w:sz w:val="20"/>
          <w:szCs w:val="20"/>
        </w:rPr>
        <w:t xml:space="preserve"> požiadať dodávateľa o cenovú ponuku podľa predchádzajúcej vety 1-krát denne, v pracovných dňoch v čase medzi 10:00 - 15:00 hod., najneskôr 14. deň v mesiaci pred začiatkom príslušného kalendárneho štvrťroka</w:t>
      </w:r>
      <w:r w:rsidR="006F0C58" w:rsidRPr="00DE7D44">
        <w:rPr>
          <w:rFonts w:ascii="Arial" w:hAnsi="Arial" w:cs="Arial"/>
          <w:sz w:val="20"/>
          <w:szCs w:val="20"/>
        </w:rPr>
        <w:t>/roka</w:t>
      </w:r>
      <w:r w:rsidR="00621CC3" w:rsidRPr="00DE7D44">
        <w:rPr>
          <w:rFonts w:ascii="Arial" w:hAnsi="Arial" w:cs="Arial"/>
          <w:sz w:val="20"/>
          <w:szCs w:val="20"/>
        </w:rPr>
        <w:t>, v ktorom má byť dodávka uskutočnená. Ak tento deň pripadne na deň pracovného pokoja alebo deň pracovného voľna na Slovensku</w:t>
      </w:r>
      <w:r w:rsidR="00352AAC" w:rsidRPr="00DE7D44">
        <w:rPr>
          <w:rFonts w:ascii="Arial" w:hAnsi="Arial" w:cs="Arial"/>
          <w:sz w:val="20"/>
          <w:szCs w:val="20"/>
        </w:rPr>
        <w:t xml:space="preserve">, </w:t>
      </w:r>
      <w:r w:rsidR="00621CC3" w:rsidRPr="00DE7D44">
        <w:rPr>
          <w:rFonts w:ascii="Arial" w:hAnsi="Arial" w:cs="Arial"/>
          <w:sz w:val="20"/>
          <w:szCs w:val="20"/>
        </w:rPr>
        <w:t xml:space="preserve">platí ako najneskorší deň pre zaslanie požiadavky na ocenenie najbližší predchádzajúci pracovný deň. </w:t>
      </w:r>
    </w:p>
    <w:p w14:paraId="33CF1C61" w14:textId="6CD4F20B" w:rsidR="00621CC3" w:rsidRPr="00DE7D44" w:rsidRDefault="00621CC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Dodávateľ zašle </w:t>
      </w:r>
      <w:r w:rsidR="001A55A3" w:rsidRPr="00DE7D44">
        <w:rPr>
          <w:rFonts w:ascii="Arial" w:hAnsi="Arial" w:cs="Arial"/>
          <w:sz w:val="20"/>
          <w:szCs w:val="20"/>
        </w:rPr>
        <w:t xml:space="preserve">skupine </w:t>
      </w:r>
      <w:r w:rsidRPr="00DE7D44">
        <w:rPr>
          <w:rFonts w:ascii="Arial" w:hAnsi="Arial" w:cs="Arial"/>
          <w:sz w:val="20"/>
          <w:szCs w:val="20"/>
        </w:rPr>
        <w:t>odberateľov cenovú ponuku e-mailom čo najskôr podľa svojich aktuálnych administratívnych možností a následne danú ponuku aj telefonicky potvrdí</w:t>
      </w:r>
      <w:r w:rsidR="008C0765" w:rsidRPr="00DE7D44">
        <w:rPr>
          <w:rFonts w:ascii="Arial" w:hAnsi="Arial" w:cs="Arial"/>
          <w:sz w:val="20"/>
          <w:szCs w:val="20"/>
        </w:rPr>
        <w:t xml:space="preserve">. Pri </w:t>
      </w:r>
      <w:r w:rsidRPr="00DE7D44">
        <w:rPr>
          <w:rFonts w:ascii="Arial" w:hAnsi="Arial" w:cs="Arial"/>
          <w:sz w:val="20"/>
          <w:szCs w:val="20"/>
        </w:rPr>
        <w:t xml:space="preserve"> nedostatku likvidity </w:t>
      </w:r>
      <w:r w:rsidR="003B1AE7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pre požadovaný objem a obdobie, je dodávateľ oprávnený realizovať ocenenie aj prostredníctvom priamej </w:t>
      </w:r>
      <w:proofErr w:type="spellStart"/>
      <w:r w:rsidRPr="00DE7D44">
        <w:rPr>
          <w:rFonts w:ascii="Arial" w:hAnsi="Arial" w:cs="Arial"/>
          <w:sz w:val="20"/>
          <w:szCs w:val="20"/>
        </w:rPr>
        <w:t>kotácie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s inou protistranou na príslušnom veľkoobchodnom trhu. Cenová ponuka dodávateľa bude platná 15 minút od odoslania. </w:t>
      </w:r>
    </w:p>
    <w:p w14:paraId="0B6557B2" w14:textId="18C8DD0D" w:rsidR="00621CC3" w:rsidRPr="00DE7D44" w:rsidRDefault="00621CC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V prípade súhlasu s návrhom ceny je odberateľ povinný zaslať akceptáciu ceny dodávateľovi prostredníctvom e-mailu. Doručením akceptácie prostredníctvom elektronickej pošty je uzavretá dohoda o množstvách a cene, ktoré sú uvedené v ponuke dodávateľa. Pre potvrdenie uzavretia dohody </w:t>
      </w:r>
      <w:r w:rsidR="003B1AE7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o množstvách a cene obidve zmluvné strany následne podpíšu Dohodu o stanovení ceny. </w:t>
      </w:r>
    </w:p>
    <w:p w14:paraId="4A26B15D" w14:textId="77777777" w:rsidR="0083596E" w:rsidRPr="00DE7D44" w:rsidRDefault="00621CC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Maximálny počet požiadaviek odberateľa na ocenenie množstva s použitím </w:t>
      </w:r>
      <w:r w:rsidR="00C75F26" w:rsidRPr="00DE7D44">
        <w:rPr>
          <w:rFonts w:ascii="Arial" w:hAnsi="Arial" w:cs="Arial"/>
          <w:sz w:val="20"/>
          <w:szCs w:val="20"/>
        </w:rPr>
        <w:t>PXE-SK</w:t>
      </w:r>
      <w:r w:rsidRPr="00DE7D44">
        <w:rPr>
          <w:rFonts w:ascii="Arial" w:hAnsi="Arial" w:cs="Arial"/>
          <w:sz w:val="20"/>
          <w:szCs w:val="20"/>
        </w:rPr>
        <w:t xml:space="preserve"> podľa tohto bodu je stanovený na jednu (1) pre každý jednotlivý štvrťrok.</w:t>
      </w:r>
    </w:p>
    <w:p w14:paraId="5BEBEF1E" w14:textId="77777777" w:rsidR="00812216" w:rsidRPr="00DE7D44" w:rsidRDefault="0083596E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Jednotková c</w:t>
      </w:r>
      <w:r w:rsidR="00812216" w:rsidRPr="00DE7D44">
        <w:rPr>
          <w:rFonts w:ascii="Arial" w:hAnsi="Arial" w:cs="Arial"/>
          <w:sz w:val="20"/>
          <w:szCs w:val="20"/>
        </w:rPr>
        <w:t xml:space="preserve">ena za dodávku elektriny bude dodávateľom vypočítaná nasledovne: </w:t>
      </w:r>
    </w:p>
    <w:p w14:paraId="03EF0769" w14:textId="5C08E2A6" w:rsidR="00812216" w:rsidRPr="00C03110" w:rsidRDefault="00812216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3110">
        <w:rPr>
          <w:rFonts w:ascii="Arial" w:hAnsi="Arial" w:cs="Arial"/>
          <w:b/>
          <w:bCs/>
          <w:sz w:val="20"/>
          <w:szCs w:val="20"/>
        </w:rPr>
        <w:t>JCE = PXEP + Ad [EUR/MWh]</w:t>
      </w:r>
    </w:p>
    <w:p w14:paraId="03FBEA24" w14:textId="77777777" w:rsidR="00812216" w:rsidRPr="00DE7D44" w:rsidRDefault="0081221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kde:</w:t>
      </w:r>
    </w:p>
    <w:p w14:paraId="725213E2" w14:textId="2F154584" w:rsidR="00812216" w:rsidRPr="00C03110" w:rsidRDefault="00812216" w:rsidP="00C03110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03110">
        <w:rPr>
          <w:rFonts w:ascii="Arial" w:hAnsi="Arial" w:cs="Arial"/>
          <w:b/>
          <w:bCs/>
          <w:sz w:val="20"/>
          <w:szCs w:val="20"/>
        </w:rPr>
        <w:t xml:space="preserve">PXEP </w:t>
      </w:r>
      <w:r w:rsidRPr="00C03110">
        <w:rPr>
          <w:rFonts w:ascii="Arial" w:hAnsi="Arial" w:cs="Arial"/>
          <w:sz w:val="20"/>
          <w:szCs w:val="20"/>
        </w:rPr>
        <w:t xml:space="preserve">je aktuálna hodnota štvrťročného/ročného produktu „EEX-PXE </w:t>
      </w:r>
      <w:proofErr w:type="spellStart"/>
      <w:r w:rsidRPr="00C03110">
        <w:rPr>
          <w:rFonts w:ascii="Arial" w:hAnsi="Arial" w:cs="Arial"/>
          <w:sz w:val="20"/>
          <w:szCs w:val="20"/>
        </w:rPr>
        <w:t>Slovakian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110">
        <w:rPr>
          <w:rFonts w:ascii="Arial" w:hAnsi="Arial" w:cs="Arial"/>
          <w:sz w:val="20"/>
          <w:szCs w:val="20"/>
        </w:rPr>
        <w:t>Power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110">
        <w:rPr>
          <w:rFonts w:ascii="Arial" w:hAnsi="Arial" w:cs="Arial"/>
          <w:sz w:val="20"/>
          <w:szCs w:val="20"/>
        </w:rPr>
        <w:t>Futures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“ </w:t>
      </w:r>
      <w:r w:rsidR="006F3D14">
        <w:rPr>
          <w:rFonts w:ascii="Arial" w:hAnsi="Arial" w:cs="Arial"/>
          <w:sz w:val="20"/>
          <w:szCs w:val="20"/>
        </w:rPr>
        <w:br/>
      </w:r>
      <w:r w:rsidRPr="00C03110">
        <w:rPr>
          <w:rFonts w:ascii="Arial" w:hAnsi="Arial" w:cs="Arial"/>
          <w:sz w:val="20"/>
          <w:szCs w:val="20"/>
        </w:rPr>
        <w:t xml:space="preserve">na obchodnej platforme </w:t>
      </w:r>
      <w:proofErr w:type="spellStart"/>
      <w:r w:rsidRPr="00C03110">
        <w:rPr>
          <w:rFonts w:ascii="Arial" w:hAnsi="Arial" w:cs="Arial"/>
          <w:sz w:val="20"/>
          <w:szCs w:val="20"/>
        </w:rPr>
        <w:t>Power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 Exchange </w:t>
      </w:r>
      <w:proofErr w:type="spellStart"/>
      <w:r w:rsidRPr="00C03110">
        <w:rPr>
          <w:rFonts w:ascii="Arial" w:hAnsi="Arial" w:cs="Arial"/>
          <w:sz w:val="20"/>
          <w:szCs w:val="20"/>
        </w:rPr>
        <w:t>Central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110">
        <w:rPr>
          <w:rFonts w:ascii="Arial" w:hAnsi="Arial" w:cs="Arial"/>
          <w:sz w:val="20"/>
          <w:szCs w:val="20"/>
        </w:rPr>
        <w:t>Europe</w:t>
      </w:r>
      <w:proofErr w:type="spellEnd"/>
      <w:r w:rsidRPr="00C03110">
        <w:rPr>
          <w:rFonts w:ascii="Arial" w:hAnsi="Arial" w:cs="Arial"/>
          <w:sz w:val="20"/>
          <w:szCs w:val="20"/>
        </w:rPr>
        <w:t xml:space="preserve"> zo dňa D v EUR/MWh. V prípade, </w:t>
      </w:r>
      <w:r w:rsidR="006F3D14">
        <w:rPr>
          <w:rFonts w:ascii="Arial" w:hAnsi="Arial" w:cs="Arial"/>
          <w:sz w:val="20"/>
          <w:szCs w:val="20"/>
        </w:rPr>
        <w:br/>
      </w:r>
      <w:r w:rsidRPr="00C03110">
        <w:rPr>
          <w:rFonts w:ascii="Arial" w:hAnsi="Arial" w:cs="Arial"/>
          <w:sz w:val="20"/>
          <w:szCs w:val="20"/>
        </w:rPr>
        <w:t>že sa umiestnenie príslušnej hodnoty PXE zmení, dodávateľ pre stanovenie ceny použije príslušnú hodnotu zo zodpovedajúceho dostupného umiestnenia z rovnakého zdroja (</w:t>
      </w:r>
      <w:hyperlink r:id="rId13" w:history="1">
        <w:r w:rsidRPr="00C03110">
          <w:t>www.pxe.cz</w:t>
        </w:r>
      </w:hyperlink>
      <w:r w:rsidRPr="00C03110">
        <w:rPr>
          <w:rFonts w:ascii="Arial" w:hAnsi="Arial" w:cs="Arial"/>
          <w:sz w:val="20"/>
          <w:szCs w:val="20"/>
        </w:rPr>
        <w:t>), prípadne sa zmluvné strany dohodnú na inej zodpovedajúcej referenčnej cene.</w:t>
      </w:r>
    </w:p>
    <w:p w14:paraId="51D1B6C4" w14:textId="49B91D61" w:rsidR="00812216" w:rsidRPr="00C03110" w:rsidRDefault="00812216" w:rsidP="00C03110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03110">
        <w:rPr>
          <w:rFonts w:ascii="Arial" w:hAnsi="Arial" w:cs="Arial"/>
          <w:b/>
          <w:bCs/>
          <w:sz w:val="20"/>
          <w:szCs w:val="20"/>
        </w:rPr>
        <w:t xml:space="preserve">Ad </w:t>
      </w:r>
      <w:r w:rsidRPr="00C03110">
        <w:rPr>
          <w:rFonts w:ascii="Arial" w:hAnsi="Arial" w:cs="Arial"/>
          <w:sz w:val="20"/>
          <w:szCs w:val="20"/>
        </w:rPr>
        <w:t xml:space="preserve">je cenový aditív, ktorým je číselná hodnota predložená dodávateľom pre danú </w:t>
      </w:r>
      <w:r w:rsidR="00024E82">
        <w:rPr>
          <w:rFonts w:ascii="Arial" w:hAnsi="Arial" w:cs="Arial"/>
          <w:sz w:val="20"/>
          <w:szCs w:val="20"/>
        </w:rPr>
        <w:t>s</w:t>
      </w:r>
      <w:r w:rsidRPr="00C03110">
        <w:rPr>
          <w:rFonts w:ascii="Arial" w:hAnsi="Arial" w:cs="Arial"/>
          <w:sz w:val="20"/>
          <w:szCs w:val="20"/>
        </w:rPr>
        <w:t>kupinu odberateľov v procese verejného obstarávania zohľadňujúca služby obchodníka v EUR/MWh.</w:t>
      </w:r>
    </w:p>
    <w:p w14:paraId="2C553AE8" w14:textId="1467CC2C" w:rsidR="00E65C74" w:rsidRPr="00DE7D44" w:rsidRDefault="00812216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Cena za dodávku elektriny zahŕňa aj cenu dodávateľa za prevzatie zodpovedností za odchýlku </w:t>
      </w:r>
      <w:r w:rsidR="00564FF7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za OM voči zúčtovateľovi odchýlok a všetky jeho ekonomicky oprávnené náklady účelne vynaložené </w:t>
      </w:r>
      <w:r w:rsidR="003925F2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>v súvislosti s poskytovaním zmluvných plnení a primeraný zisk dodávateľa.</w:t>
      </w:r>
    </w:p>
    <w:p w14:paraId="1122B09C" w14:textId="16A11037" w:rsidR="00601715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Cena za dodanie 1 MWh elektriny sa bude uplatňovať na elektrinu v celkovom objeme zodpovedajúcom min. 20% a max. </w:t>
      </w:r>
      <w:r w:rsidR="00CB01D9" w:rsidRPr="00DE7D44">
        <w:rPr>
          <w:rFonts w:ascii="Arial" w:hAnsi="Arial" w:cs="Arial"/>
          <w:sz w:val="20"/>
          <w:szCs w:val="20"/>
        </w:rPr>
        <w:t>8</w:t>
      </w:r>
      <w:r w:rsidRPr="00DE7D44">
        <w:rPr>
          <w:rFonts w:ascii="Arial" w:hAnsi="Arial" w:cs="Arial"/>
          <w:sz w:val="20"/>
          <w:szCs w:val="20"/>
        </w:rPr>
        <w:t xml:space="preserve">0% z predpokladaného množstva odberu elektriny v príslušnom kalendárnom roku </w:t>
      </w:r>
      <w:r w:rsidRPr="00DE7D44">
        <w:rPr>
          <w:rFonts w:ascii="Arial" w:hAnsi="Arial" w:cs="Arial"/>
          <w:sz w:val="20"/>
          <w:szCs w:val="20"/>
        </w:rPr>
        <w:lastRenderedPageBreak/>
        <w:t xml:space="preserve">tak, ako je uvedené bližšie špecifikované v bode o predpokladanom množstve odberu elektriny. </w:t>
      </w:r>
      <w:r w:rsidR="006F3D14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Ide o nakúpené pásmo elektriny rovnomerne rozdelené do všetkých príslušných kalendárnych mesiacov a všetkých príslušných hodín v príslušnom kalendárnom roku (BASE). Ostatok elektriny dodanej </w:t>
      </w:r>
      <w:r w:rsidR="006F3D14">
        <w:rPr>
          <w:rFonts w:ascii="Arial" w:hAnsi="Arial" w:cs="Arial"/>
          <w:sz w:val="20"/>
          <w:szCs w:val="20"/>
        </w:rPr>
        <w:br/>
      </w:r>
      <w:r w:rsidRPr="00DE7D44">
        <w:rPr>
          <w:rFonts w:ascii="Arial" w:hAnsi="Arial" w:cs="Arial"/>
          <w:sz w:val="20"/>
          <w:szCs w:val="20"/>
        </w:rPr>
        <w:t xml:space="preserve">do OM </w:t>
      </w:r>
      <w:r w:rsidR="00CC01DC" w:rsidRPr="00DE7D44">
        <w:rPr>
          <w:rFonts w:ascii="Arial" w:hAnsi="Arial" w:cs="Arial"/>
          <w:sz w:val="20"/>
          <w:szCs w:val="20"/>
        </w:rPr>
        <w:t>Skupiny o</w:t>
      </w:r>
      <w:r w:rsidRPr="00DE7D44">
        <w:rPr>
          <w:rFonts w:ascii="Arial" w:hAnsi="Arial" w:cs="Arial"/>
          <w:sz w:val="20"/>
          <w:szCs w:val="20"/>
        </w:rPr>
        <w:t>dberateľ</w:t>
      </w:r>
      <w:r w:rsidR="00CC01DC" w:rsidRPr="00DE7D44">
        <w:rPr>
          <w:rFonts w:ascii="Arial" w:hAnsi="Arial" w:cs="Arial"/>
          <w:sz w:val="20"/>
          <w:szCs w:val="20"/>
        </w:rPr>
        <w:t>ov</w:t>
      </w:r>
      <w:r w:rsidRPr="00DE7D44">
        <w:rPr>
          <w:rFonts w:ascii="Arial" w:hAnsi="Arial" w:cs="Arial"/>
          <w:sz w:val="20"/>
          <w:szCs w:val="20"/>
        </w:rPr>
        <w:t xml:space="preserve"> </w:t>
      </w:r>
      <w:r w:rsidR="006F3D14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>odávateľ zabezpečí formou nákupu na krátkodobom trhu (SPOT).</w:t>
      </w:r>
    </w:p>
    <w:p w14:paraId="5D535760" w14:textId="77777777" w:rsidR="00E65C74" w:rsidRPr="00DE7D44" w:rsidRDefault="00E65C74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7D44">
        <w:rPr>
          <w:rFonts w:ascii="Arial" w:hAnsi="Arial" w:cs="Arial"/>
          <w:b/>
          <w:bCs/>
          <w:sz w:val="20"/>
          <w:szCs w:val="20"/>
        </w:rPr>
        <w:t>SPOT</w:t>
      </w:r>
    </w:p>
    <w:p w14:paraId="56EC4621" w14:textId="03688D62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Zvyšný objem elektriny nad rámec základového pásma BASE bude </w:t>
      </w:r>
      <w:r w:rsidR="004E6281">
        <w:rPr>
          <w:rFonts w:ascii="Arial" w:hAnsi="Arial" w:cs="Arial"/>
          <w:sz w:val="20"/>
          <w:szCs w:val="20"/>
        </w:rPr>
        <w:t>d</w:t>
      </w:r>
      <w:r w:rsidRPr="00DE7D44">
        <w:rPr>
          <w:rFonts w:ascii="Arial" w:hAnsi="Arial" w:cs="Arial"/>
          <w:sz w:val="20"/>
          <w:szCs w:val="20"/>
        </w:rPr>
        <w:t xml:space="preserve">odávateľ pre </w:t>
      </w:r>
      <w:r w:rsidR="004E6281">
        <w:rPr>
          <w:rFonts w:ascii="Arial" w:hAnsi="Arial" w:cs="Arial"/>
          <w:sz w:val="20"/>
          <w:szCs w:val="20"/>
        </w:rPr>
        <w:t>s</w:t>
      </w:r>
      <w:r w:rsidR="00CC01DC" w:rsidRPr="00DE7D44">
        <w:rPr>
          <w:rFonts w:ascii="Arial" w:hAnsi="Arial" w:cs="Arial"/>
          <w:sz w:val="20"/>
          <w:szCs w:val="20"/>
        </w:rPr>
        <w:t>kupinu o</w:t>
      </w:r>
      <w:r w:rsidRPr="00DE7D44">
        <w:rPr>
          <w:rFonts w:ascii="Arial" w:hAnsi="Arial" w:cs="Arial"/>
          <w:sz w:val="20"/>
          <w:szCs w:val="20"/>
        </w:rPr>
        <w:t>dberateľ</w:t>
      </w:r>
      <w:r w:rsidR="00CC01DC" w:rsidRPr="00DE7D44">
        <w:rPr>
          <w:rFonts w:ascii="Arial" w:hAnsi="Arial" w:cs="Arial"/>
          <w:sz w:val="20"/>
          <w:szCs w:val="20"/>
        </w:rPr>
        <w:t>ov</w:t>
      </w:r>
      <w:r w:rsidRPr="00DE7D44">
        <w:rPr>
          <w:rFonts w:ascii="Arial" w:hAnsi="Arial" w:cs="Arial"/>
          <w:sz w:val="20"/>
          <w:szCs w:val="20"/>
        </w:rPr>
        <w:t xml:space="preserve"> bilancovať na hodinovej báze vo výške rozdielu medzi skutočným odberom elektriny v každej hodine h a hodinovým objemom BASE za ceny na krátkodobom trhu s elektrinou organizovanou spoločnosťou OKTE, a.s. Stanovenie objemov a ceny za bilancovanie SPOT bude prebiehať nasledovne: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3445" w:rsidRPr="00C45FEB" w14:paraId="3A6FF1F9" w14:textId="77777777" w:rsidTr="00BD3445">
        <w:tc>
          <w:tcPr>
            <w:tcW w:w="2265" w:type="dxa"/>
          </w:tcPr>
          <w:p w14:paraId="17BEF5E8" w14:textId="1C9F7BC5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Transakcia</w:t>
            </w: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65" w:type="dxa"/>
          </w:tcPr>
          <w:p w14:paraId="13EC70D1" w14:textId="5FD813E6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Vyhodnotenie</w:t>
            </w: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66" w:type="dxa"/>
          </w:tcPr>
          <w:p w14:paraId="70B0C9DB" w14:textId="61108754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Množstvo (MWh)</w:t>
            </w:r>
          </w:p>
        </w:tc>
        <w:tc>
          <w:tcPr>
            <w:tcW w:w="2266" w:type="dxa"/>
          </w:tcPr>
          <w:p w14:paraId="493CBEC9" w14:textId="636CB963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Cena (EUR/MWh)</w:t>
            </w:r>
          </w:p>
        </w:tc>
      </w:tr>
      <w:tr w:rsidR="00BD3445" w:rsidRPr="00C45FEB" w14:paraId="154DECAA" w14:textId="77777777" w:rsidTr="00BD3445">
        <w:tc>
          <w:tcPr>
            <w:tcW w:w="2265" w:type="dxa"/>
            <w:vAlign w:val="center"/>
          </w:tcPr>
          <w:p w14:paraId="73A2A5D6" w14:textId="7F4BEE7C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Nákup</w:t>
            </w:r>
          </w:p>
        </w:tc>
        <w:tc>
          <w:tcPr>
            <w:tcW w:w="2265" w:type="dxa"/>
          </w:tcPr>
          <w:p w14:paraId="41C0EE6A" w14:textId="379AF0F1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Ak je objem odberu v hodine h vyšší ako objem BASE.</w:t>
            </w:r>
          </w:p>
        </w:tc>
        <w:tc>
          <w:tcPr>
            <w:tcW w:w="2266" w:type="dxa"/>
            <w:vAlign w:val="center"/>
          </w:tcPr>
          <w:p w14:paraId="21873319" w14:textId="51206918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QSN v hodine h je </w:t>
            </w: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QR – QFW</w:t>
            </w:r>
          </w:p>
        </w:tc>
        <w:tc>
          <w:tcPr>
            <w:tcW w:w="2266" w:type="dxa"/>
            <w:vAlign w:val="center"/>
          </w:tcPr>
          <w:p w14:paraId="685D5902" w14:textId="5DA138A5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 + </w:t>
            </w:r>
            <w:proofErr w:type="spellStart"/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C33DB1"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  <w:p w14:paraId="5AC010B6" w14:textId="77777777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3445" w:rsidRPr="00C45FEB" w14:paraId="2EAD86F0" w14:textId="77777777" w:rsidTr="00BD3445">
        <w:tc>
          <w:tcPr>
            <w:tcW w:w="2265" w:type="dxa"/>
            <w:vAlign w:val="center"/>
          </w:tcPr>
          <w:p w14:paraId="697CE15D" w14:textId="1A810C4B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Predaj</w:t>
            </w:r>
          </w:p>
        </w:tc>
        <w:tc>
          <w:tcPr>
            <w:tcW w:w="2265" w:type="dxa"/>
          </w:tcPr>
          <w:p w14:paraId="76DEA20B" w14:textId="5E337576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Ak je objem odberu v hodine h nižší ako objem BASE.</w:t>
            </w:r>
          </w:p>
        </w:tc>
        <w:tc>
          <w:tcPr>
            <w:tcW w:w="2266" w:type="dxa"/>
            <w:vAlign w:val="center"/>
          </w:tcPr>
          <w:p w14:paraId="55FB8A76" w14:textId="636CAC03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QSP v hodine h je </w:t>
            </w: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QFW – QR</w:t>
            </w:r>
          </w:p>
        </w:tc>
        <w:tc>
          <w:tcPr>
            <w:tcW w:w="2266" w:type="dxa"/>
            <w:vAlign w:val="center"/>
          </w:tcPr>
          <w:p w14:paraId="2F70A1DA" w14:textId="0D06F1B4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 - </w:t>
            </w:r>
            <w:proofErr w:type="spellStart"/>
            <w:r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C33DB1" w:rsidRPr="00C45FE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  <w:p w14:paraId="2DFBC47C" w14:textId="77777777" w:rsidR="00BD3445" w:rsidRPr="00C45FEB" w:rsidRDefault="00BD3445" w:rsidP="00DE7D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AC9948" w14:textId="77777777" w:rsidR="00BD3445" w:rsidRPr="00DE7D44" w:rsidRDefault="00BD3445" w:rsidP="00DE7D44">
      <w:pPr>
        <w:jc w:val="both"/>
        <w:rPr>
          <w:rFonts w:ascii="Arial" w:hAnsi="Arial" w:cs="Arial"/>
          <w:sz w:val="20"/>
          <w:szCs w:val="20"/>
        </w:rPr>
      </w:pPr>
    </w:p>
    <w:p w14:paraId="3CDC07A2" w14:textId="79228298" w:rsidR="001F53A9" w:rsidRPr="00DE7D44" w:rsidRDefault="001F23B3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</w:t>
      </w:r>
      <w:r w:rsidR="001F53A9" w:rsidRPr="00DE7D44">
        <w:rPr>
          <w:rFonts w:ascii="Arial" w:hAnsi="Arial" w:cs="Arial"/>
          <w:sz w:val="20"/>
          <w:szCs w:val="20"/>
        </w:rPr>
        <w:t>de:</w:t>
      </w:r>
    </w:p>
    <w:p w14:paraId="601DABD7" w14:textId="37064F91" w:rsidR="001F53A9" w:rsidRPr="00C45FEB" w:rsidRDefault="001F53A9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45FEB">
        <w:rPr>
          <w:rFonts w:ascii="Arial" w:hAnsi="Arial" w:cs="Arial"/>
          <w:b/>
          <w:bCs/>
          <w:sz w:val="20"/>
          <w:szCs w:val="20"/>
        </w:rPr>
        <w:t xml:space="preserve">QSN </w:t>
      </w:r>
      <w:r w:rsidRPr="00C45FEB">
        <w:rPr>
          <w:rFonts w:ascii="Arial" w:hAnsi="Arial" w:cs="Arial"/>
          <w:sz w:val="20"/>
          <w:szCs w:val="20"/>
        </w:rPr>
        <w:t>je objem nákupu SPOT v hodine h</w:t>
      </w:r>
      <w:r w:rsidR="00C45FEB">
        <w:rPr>
          <w:rFonts w:ascii="Arial" w:hAnsi="Arial" w:cs="Arial"/>
          <w:sz w:val="20"/>
          <w:szCs w:val="20"/>
        </w:rPr>
        <w:t>.</w:t>
      </w:r>
    </w:p>
    <w:p w14:paraId="6D5636B6" w14:textId="08274B91" w:rsidR="001F53A9" w:rsidRPr="00C45FEB" w:rsidRDefault="001F53A9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45FEB">
        <w:rPr>
          <w:rFonts w:ascii="Arial" w:hAnsi="Arial" w:cs="Arial"/>
          <w:b/>
          <w:bCs/>
          <w:sz w:val="20"/>
          <w:szCs w:val="20"/>
        </w:rPr>
        <w:t xml:space="preserve">QSP </w:t>
      </w:r>
      <w:r w:rsidRPr="00C45FEB">
        <w:rPr>
          <w:rFonts w:ascii="Arial" w:hAnsi="Arial" w:cs="Arial"/>
          <w:sz w:val="20"/>
          <w:szCs w:val="20"/>
        </w:rPr>
        <w:t>je objem predaja SPOT v hodine h</w:t>
      </w:r>
      <w:r w:rsidR="00C45FEB">
        <w:rPr>
          <w:rFonts w:ascii="Arial" w:hAnsi="Arial" w:cs="Arial"/>
          <w:sz w:val="20"/>
          <w:szCs w:val="20"/>
        </w:rPr>
        <w:t>.</w:t>
      </w:r>
    </w:p>
    <w:p w14:paraId="1F7DDBA1" w14:textId="61A2932E" w:rsidR="001F53A9" w:rsidRPr="00C45FEB" w:rsidRDefault="001F53A9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45FEB">
        <w:rPr>
          <w:rFonts w:ascii="Arial" w:hAnsi="Arial" w:cs="Arial"/>
          <w:b/>
          <w:bCs/>
          <w:sz w:val="20"/>
          <w:szCs w:val="20"/>
        </w:rPr>
        <w:t xml:space="preserve">QFW </w:t>
      </w:r>
      <w:r w:rsidRPr="00C45FEB">
        <w:rPr>
          <w:rFonts w:ascii="Arial" w:hAnsi="Arial" w:cs="Arial"/>
          <w:sz w:val="20"/>
          <w:szCs w:val="20"/>
        </w:rPr>
        <w:t>je hodinový objem pásma BASE v</w:t>
      </w:r>
      <w:r w:rsidR="00ED2AC5">
        <w:rPr>
          <w:rFonts w:ascii="Arial" w:hAnsi="Arial" w:cs="Arial"/>
          <w:sz w:val="20"/>
          <w:szCs w:val="20"/>
        </w:rPr>
        <w:t> </w:t>
      </w:r>
      <w:r w:rsidRPr="00C45FEB">
        <w:rPr>
          <w:rFonts w:ascii="Arial" w:hAnsi="Arial" w:cs="Arial"/>
          <w:sz w:val="20"/>
          <w:szCs w:val="20"/>
        </w:rPr>
        <w:t>MWh</w:t>
      </w:r>
      <w:r w:rsidR="00ED2AC5">
        <w:rPr>
          <w:rFonts w:ascii="Arial" w:hAnsi="Arial" w:cs="Arial"/>
          <w:sz w:val="20"/>
          <w:szCs w:val="20"/>
        </w:rPr>
        <w:t>.</w:t>
      </w:r>
    </w:p>
    <w:p w14:paraId="3A5F7E8A" w14:textId="7A9DED2A" w:rsidR="001F53A9" w:rsidRPr="00C45FEB" w:rsidRDefault="001F53A9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45FEB">
        <w:rPr>
          <w:rFonts w:ascii="Arial" w:hAnsi="Arial" w:cs="Arial"/>
          <w:b/>
          <w:bCs/>
          <w:sz w:val="20"/>
          <w:szCs w:val="20"/>
        </w:rPr>
        <w:t xml:space="preserve">QR </w:t>
      </w:r>
      <w:r w:rsidRPr="00C45FEB">
        <w:rPr>
          <w:rFonts w:ascii="Arial" w:hAnsi="Arial" w:cs="Arial"/>
          <w:sz w:val="20"/>
          <w:szCs w:val="20"/>
        </w:rPr>
        <w:t>je reálny hodinový odber v hodine h v</w:t>
      </w:r>
      <w:r w:rsidR="00ED2AC5">
        <w:rPr>
          <w:rFonts w:ascii="Arial" w:hAnsi="Arial" w:cs="Arial"/>
          <w:sz w:val="20"/>
          <w:szCs w:val="20"/>
        </w:rPr>
        <w:t> </w:t>
      </w:r>
      <w:r w:rsidRPr="00C45FEB">
        <w:rPr>
          <w:rFonts w:ascii="Arial" w:hAnsi="Arial" w:cs="Arial"/>
          <w:sz w:val="20"/>
          <w:szCs w:val="20"/>
        </w:rPr>
        <w:t>MWh</w:t>
      </w:r>
      <w:r w:rsidR="00ED2AC5">
        <w:rPr>
          <w:rFonts w:ascii="Arial" w:hAnsi="Arial" w:cs="Arial"/>
          <w:sz w:val="20"/>
          <w:szCs w:val="20"/>
        </w:rPr>
        <w:t>.</w:t>
      </w:r>
    </w:p>
    <w:p w14:paraId="7C863FCF" w14:textId="7D802887" w:rsidR="001F53A9" w:rsidRPr="00C45FEB" w:rsidRDefault="001F53A9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45FEB">
        <w:rPr>
          <w:rFonts w:ascii="Arial" w:hAnsi="Arial" w:cs="Arial"/>
          <w:b/>
          <w:bCs/>
          <w:sz w:val="20"/>
          <w:szCs w:val="20"/>
        </w:rPr>
        <w:t xml:space="preserve">ISOT </w:t>
      </w:r>
      <w:r w:rsidRPr="00C45FEB">
        <w:rPr>
          <w:rFonts w:ascii="Arial" w:hAnsi="Arial" w:cs="Arial"/>
          <w:sz w:val="20"/>
          <w:szCs w:val="20"/>
        </w:rPr>
        <w:t xml:space="preserve">je spotová cena v hodine h v EUR/MWh v obchodnej oblasti SEPS zverejňovaná spoločnosťou OKTE, a.s. na: </w:t>
      </w:r>
      <w:hyperlink r:id="rId14" w:history="1">
        <w:r w:rsidR="00BD3445" w:rsidRPr="00C45FEB">
          <w:t>https://www.okte.sk/sk/kratkodoby-trh/zverejnenie-udajov-dt/celkove-vysledky-dt/</w:t>
        </w:r>
      </w:hyperlink>
      <w:r w:rsidR="00BD3445" w:rsidRPr="00C45FEB">
        <w:rPr>
          <w:rFonts w:ascii="Arial" w:hAnsi="Arial" w:cs="Arial"/>
          <w:sz w:val="20"/>
          <w:szCs w:val="20"/>
        </w:rPr>
        <w:t>.</w:t>
      </w:r>
      <w:r w:rsidRPr="00C45FEB">
        <w:rPr>
          <w:rFonts w:ascii="Arial" w:hAnsi="Arial" w:cs="Arial"/>
          <w:sz w:val="20"/>
          <w:szCs w:val="20"/>
        </w:rPr>
        <w:t xml:space="preserve"> V prípade, že sa umiestnenie príslušných hodnôt denného trhu zmení, dodávateľ </w:t>
      </w:r>
      <w:r w:rsidR="00ED2AC5">
        <w:rPr>
          <w:rFonts w:ascii="Arial" w:hAnsi="Arial" w:cs="Arial"/>
          <w:sz w:val="20"/>
          <w:szCs w:val="20"/>
        </w:rPr>
        <w:br/>
      </w:r>
      <w:r w:rsidRPr="00C45FEB">
        <w:rPr>
          <w:rFonts w:ascii="Arial" w:hAnsi="Arial" w:cs="Arial"/>
          <w:sz w:val="20"/>
          <w:szCs w:val="20"/>
        </w:rPr>
        <w:t xml:space="preserve">pre stanovenie ceny použije príslušné hodnoty zo zodpovedajúceho dostupného umiestnenia </w:t>
      </w:r>
      <w:r w:rsidR="00ED2AC5">
        <w:rPr>
          <w:rFonts w:ascii="Arial" w:hAnsi="Arial" w:cs="Arial"/>
          <w:sz w:val="20"/>
          <w:szCs w:val="20"/>
        </w:rPr>
        <w:br/>
      </w:r>
      <w:r w:rsidRPr="00C45FEB">
        <w:rPr>
          <w:rFonts w:ascii="Arial" w:hAnsi="Arial" w:cs="Arial"/>
          <w:sz w:val="20"/>
          <w:szCs w:val="20"/>
        </w:rPr>
        <w:t>na webovej adrese spoločnosti OKTE, a.s. </w:t>
      </w:r>
    </w:p>
    <w:p w14:paraId="38C5B656" w14:textId="0D36D58E" w:rsidR="001F23B3" w:rsidRPr="00C45FEB" w:rsidRDefault="001F23B3" w:rsidP="00C45FEB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C45FEB">
        <w:rPr>
          <w:rFonts w:ascii="Arial" w:hAnsi="Arial" w:cs="Arial"/>
          <w:b/>
          <w:bCs/>
          <w:sz w:val="20"/>
          <w:szCs w:val="20"/>
        </w:rPr>
        <w:t>Ad</w:t>
      </w:r>
      <w:r w:rsidR="00765B38" w:rsidRPr="00C45FEB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Pr="00C45FEB">
        <w:rPr>
          <w:rFonts w:ascii="Arial" w:hAnsi="Arial" w:cs="Arial"/>
          <w:sz w:val="20"/>
          <w:szCs w:val="20"/>
        </w:rPr>
        <w:t xml:space="preserve"> je cenový aditív</w:t>
      </w:r>
      <w:r w:rsidR="00765B38" w:rsidRPr="00C45FEB">
        <w:rPr>
          <w:rFonts w:ascii="Arial" w:hAnsi="Arial" w:cs="Arial"/>
          <w:sz w:val="20"/>
          <w:szCs w:val="20"/>
        </w:rPr>
        <w:t xml:space="preserve"> pre spot</w:t>
      </w:r>
      <w:r w:rsidRPr="00C45FEB">
        <w:rPr>
          <w:rFonts w:ascii="Arial" w:hAnsi="Arial" w:cs="Arial"/>
          <w:sz w:val="20"/>
          <w:szCs w:val="20"/>
        </w:rPr>
        <w:t xml:space="preserve"> zohľadňujúc</w:t>
      </w:r>
      <w:r w:rsidR="008A4C93" w:rsidRPr="00C45FEB">
        <w:rPr>
          <w:rFonts w:ascii="Arial" w:hAnsi="Arial" w:cs="Arial"/>
          <w:sz w:val="20"/>
          <w:szCs w:val="20"/>
        </w:rPr>
        <w:t>i</w:t>
      </w:r>
      <w:r w:rsidRPr="00C45FEB">
        <w:rPr>
          <w:rFonts w:ascii="Arial" w:hAnsi="Arial" w:cs="Arial"/>
          <w:sz w:val="20"/>
          <w:szCs w:val="20"/>
        </w:rPr>
        <w:t xml:space="preserve"> služby obchodníka v EUR/MWh.</w:t>
      </w:r>
    </w:p>
    <w:p w14:paraId="62A36D1E" w14:textId="23158D33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Spôsob stanovenia ceny za celkovú dodávku elektriny:</w:t>
      </w:r>
    </w:p>
    <w:p w14:paraId="329DF303" w14:textId="40F49102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Pre OM s inštalovaným </w:t>
      </w:r>
      <w:proofErr w:type="spellStart"/>
      <w:r w:rsidRPr="00DE7D44">
        <w:rPr>
          <w:rFonts w:ascii="Arial" w:hAnsi="Arial" w:cs="Arial"/>
          <w:sz w:val="20"/>
          <w:szCs w:val="20"/>
        </w:rPr>
        <w:t>priebehovým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meraním:</w:t>
      </w:r>
    </w:p>
    <w:p w14:paraId="0EFFEB6A" w14:textId="1A258E79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Cena za dodávku elektriny dodanej do OM </w:t>
      </w:r>
      <w:r w:rsidR="0043564D">
        <w:rPr>
          <w:rFonts w:ascii="Arial" w:hAnsi="Arial" w:cs="Arial"/>
          <w:sz w:val="20"/>
          <w:szCs w:val="20"/>
        </w:rPr>
        <w:t>o</w:t>
      </w:r>
      <w:r w:rsidRPr="00DE7D44">
        <w:rPr>
          <w:rFonts w:ascii="Arial" w:hAnsi="Arial" w:cs="Arial"/>
          <w:sz w:val="20"/>
          <w:szCs w:val="20"/>
        </w:rPr>
        <w:t xml:space="preserve">dberateľa s </w:t>
      </w:r>
      <w:proofErr w:type="spellStart"/>
      <w:r w:rsidRPr="00DE7D44">
        <w:rPr>
          <w:rFonts w:ascii="Arial" w:hAnsi="Arial" w:cs="Arial"/>
          <w:sz w:val="20"/>
          <w:szCs w:val="20"/>
        </w:rPr>
        <w:t>priebehovým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meraním bude stanovená pre príslušný mesiac na základe nasledujúceho vzorca:</w:t>
      </w:r>
    </w:p>
    <w:p w14:paraId="3E5DC203" w14:textId="285B2989" w:rsidR="001F53A9" w:rsidRPr="00367B3A" w:rsidRDefault="001F53A9" w:rsidP="00DE7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67B3A">
        <w:rPr>
          <w:rFonts w:ascii="Arial" w:hAnsi="Arial" w:cs="Arial"/>
          <w:b/>
          <w:bCs/>
          <w:sz w:val="20"/>
          <w:szCs w:val="20"/>
        </w:rPr>
        <w:t xml:space="preserve">VC = </w:t>
      </w:r>
      <w:r w:rsidR="00C37646" w:rsidRPr="00367B3A">
        <w:rPr>
          <w:rFonts w:ascii="Arial" w:hAnsi="Arial" w:cs="Arial"/>
          <w:b/>
          <w:bCs/>
          <w:sz w:val="20"/>
          <w:szCs w:val="20"/>
        </w:rPr>
        <w:t>PXEP</w:t>
      </w:r>
      <w:r w:rsidRPr="00367B3A">
        <w:rPr>
          <w:rFonts w:ascii="Arial" w:hAnsi="Arial" w:cs="Arial"/>
          <w:b/>
          <w:bCs/>
          <w:sz w:val="20"/>
          <w:szCs w:val="20"/>
        </w:rPr>
        <w:t xml:space="preserve"> * QBS + (SPOTN - SPOTP) / QO</w:t>
      </w:r>
    </w:p>
    <w:p w14:paraId="2DE8D22B" w14:textId="77777777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kde:</w:t>
      </w:r>
    </w:p>
    <w:p w14:paraId="39912284" w14:textId="7A9BB252" w:rsidR="00C37646" w:rsidRPr="00DB4EF9" w:rsidRDefault="00C37646" w:rsidP="00DB4EF9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4EF9">
        <w:rPr>
          <w:rFonts w:ascii="Arial" w:hAnsi="Arial" w:cs="Arial"/>
          <w:b/>
          <w:bCs/>
          <w:sz w:val="20"/>
          <w:szCs w:val="20"/>
        </w:rPr>
        <w:t xml:space="preserve">PXEP </w:t>
      </w:r>
      <w:r w:rsidRPr="00DB4EF9">
        <w:rPr>
          <w:rFonts w:ascii="Arial" w:hAnsi="Arial" w:cs="Arial"/>
          <w:sz w:val="20"/>
          <w:szCs w:val="20"/>
        </w:rPr>
        <w:t xml:space="preserve">je aktuálna hodnota štvrťročného/ročného produktu „EEX-PXE </w:t>
      </w:r>
      <w:proofErr w:type="spellStart"/>
      <w:r w:rsidRPr="00DB4EF9">
        <w:rPr>
          <w:rFonts w:ascii="Arial" w:hAnsi="Arial" w:cs="Arial"/>
          <w:sz w:val="20"/>
          <w:szCs w:val="20"/>
        </w:rPr>
        <w:t>Slovakian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EF9">
        <w:rPr>
          <w:rFonts w:ascii="Arial" w:hAnsi="Arial" w:cs="Arial"/>
          <w:sz w:val="20"/>
          <w:szCs w:val="20"/>
        </w:rPr>
        <w:t>Power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EF9">
        <w:rPr>
          <w:rFonts w:ascii="Arial" w:hAnsi="Arial" w:cs="Arial"/>
          <w:sz w:val="20"/>
          <w:szCs w:val="20"/>
        </w:rPr>
        <w:t>Futures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“ </w:t>
      </w:r>
      <w:r w:rsidR="009D4EA9">
        <w:rPr>
          <w:rFonts w:ascii="Arial" w:hAnsi="Arial" w:cs="Arial"/>
          <w:sz w:val="20"/>
          <w:szCs w:val="20"/>
        </w:rPr>
        <w:br/>
      </w:r>
      <w:r w:rsidRPr="00DB4EF9">
        <w:rPr>
          <w:rFonts w:ascii="Arial" w:hAnsi="Arial" w:cs="Arial"/>
          <w:sz w:val="20"/>
          <w:szCs w:val="20"/>
        </w:rPr>
        <w:t xml:space="preserve">na obchodnej platforme </w:t>
      </w:r>
      <w:proofErr w:type="spellStart"/>
      <w:r w:rsidRPr="00DB4EF9">
        <w:rPr>
          <w:rFonts w:ascii="Arial" w:hAnsi="Arial" w:cs="Arial"/>
          <w:sz w:val="20"/>
          <w:szCs w:val="20"/>
        </w:rPr>
        <w:t>Power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 Exchange </w:t>
      </w:r>
      <w:proofErr w:type="spellStart"/>
      <w:r w:rsidRPr="00DB4EF9">
        <w:rPr>
          <w:rFonts w:ascii="Arial" w:hAnsi="Arial" w:cs="Arial"/>
          <w:sz w:val="20"/>
          <w:szCs w:val="20"/>
        </w:rPr>
        <w:t>Central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EF9">
        <w:rPr>
          <w:rFonts w:ascii="Arial" w:hAnsi="Arial" w:cs="Arial"/>
          <w:sz w:val="20"/>
          <w:szCs w:val="20"/>
        </w:rPr>
        <w:t>Europe</w:t>
      </w:r>
      <w:proofErr w:type="spellEnd"/>
      <w:r w:rsidRPr="00DB4EF9">
        <w:rPr>
          <w:rFonts w:ascii="Arial" w:hAnsi="Arial" w:cs="Arial"/>
          <w:sz w:val="20"/>
          <w:szCs w:val="20"/>
        </w:rPr>
        <w:t xml:space="preserve"> zo dňa D v EUR/MWh. V prípade, </w:t>
      </w:r>
      <w:r w:rsidR="009D4EA9">
        <w:rPr>
          <w:rFonts w:ascii="Arial" w:hAnsi="Arial" w:cs="Arial"/>
          <w:sz w:val="20"/>
          <w:szCs w:val="20"/>
        </w:rPr>
        <w:br/>
      </w:r>
      <w:r w:rsidRPr="00DB4EF9">
        <w:rPr>
          <w:rFonts w:ascii="Arial" w:hAnsi="Arial" w:cs="Arial"/>
          <w:sz w:val="20"/>
          <w:szCs w:val="20"/>
        </w:rPr>
        <w:t>že sa umiestnenie príslušnej hodnoty PXE zmení, dodávateľ pre stanovenie ceny použije príslušnú hodnotu zo zodpovedajúceho dostupného umiestnenia z rovnakého zdroja (www.pxe.cz), prípadne sa zmluvné strany dohodnú na inej zodpovedajúcej referenčnej cene.</w:t>
      </w:r>
    </w:p>
    <w:p w14:paraId="6B4A7F57" w14:textId="05E4E77C" w:rsidR="001F53A9" w:rsidRPr="00DB4EF9" w:rsidRDefault="001F53A9" w:rsidP="00DB4EF9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B4EF9">
        <w:rPr>
          <w:rFonts w:ascii="Arial" w:hAnsi="Arial" w:cs="Arial"/>
          <w:b/>
          <w:bCs/>
          <w:sz w:val="20"/>
          <w:szCs w:val="20"/>
        </w:rPr>
        <w:t xml:space="preserve">QBS </w:t>
      </w:r>
      <w:r w:rsidRPr="00DB4EF9">
        <w:rPr>
          <w:rFonts w:ascii="Arial" w:hAnsi="Arial" w:cs="Arial"/>
          <w:sz w:val="20"/>
          <w:szCs w:val="20"/>
        </w:rPr>
        <w:t>je objem elektriny BASE na príslušný kalendárni mesiac.</w:t>
      </w:r>
    </w:p>
    <w:p w14:paraId="24040CAA" w14:textId="0B152E6C" w:rsidR="001F53A9" w:rsidRPr="00DB4EF9" w:rsidRDefault="001F53A9" w:rsidP="00DB4EF9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4EF9">
        <w:rPr>
          <w:rFonts w:ascii="Arial" w:hAnsi="Arial" w:cs="Arial"/>
          <w:b/>
          <w:bCs/>
          <w:sz w:val="20"/>
          <w:szCs w:val="20"/>
        </w:rPr>
        <w:t xml:space="preserve">SPOTN </w:t>
      </w:r>
      <w:r w:rsidRPr="00DB4EF9">
        <w:rPr>
          <w:rFonts w:ascii="Arial" w:hAnsi="Arial" w:cs="Arial"/>
          <w:sz w:val="20"/>
          <w:szCs w:val="20"/>
        </w:rPr>
        <w:t>je suma spotových nákupov v EUR za všetky hodiny príslušného mesiaca. Spotový nákup v EUR v danej hodine sa vypočíta ako: QSN * (ISOT+A).</w:t>
      </w:r>
    </w:p>
    <w:p w14:paraId="4A66AA80" w14:textId="42038042" w:rsidR="001F53A9" w:rsidRPr="00DB4EF9" w:rsidRDefault="001F53A9" w:rsidP="00DB4EF9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B4EF9">
        <w:rPr>
          <w:rFonts w:ascii="Arial" w:hAnsi="Arial" w:cs="Arial"/>
          <w:b/>
          <w:bCs/>
          <w:sz w:val="20"/>
          <w:szCs w:val="20"/>
        </w:rPr>
        <w:t xml:space="preserve">SPOTP </w:t>
      </w:r>
      <w:r w:rsidRPr="00DB4EF9">
        <w:rPr>
          <w:rFonts w:ascii="Arial" w:hAnsi="Arial" w:cs="Arial"/>
          <w:sz w:val="20"/>
          <w:szCs w:val="20"/>
        </w:rPr>
        <w:t>je suma spotových predajov v EUR za všetky hodiny príslušného mesiaca. Spotový predaj v EUR v danej hodine sa vypočíta ako: QSP * (ISOT-A).</w:t>
      </w:r>
    </w:p>
    <w:p w14:paraId="5FA7DB0C" w14:textId="72E3458B" w:rsidR="001F53A9" w:rsidRPr="00DB4EF9" w:rsidRDefault="001F53A9" w:rsidP="00DB4EF9">
      <w:pPr>
        <w:pStyle w:val="Odsekzoznamu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4EF9">
        <w:rPr>
          <w:rFonts w:ascii="Arial" w:hAnsi="Arial" w:cs="Arial"/>
          <w:b/>
          <w:bCs/>
          <w:sz w:val="20"/>
          <w:szCs w:val="20"/>
        </w:rPr>
        <w:lastRenderedPageBreak/>
        <w:t>QO je reálny odber elektriny v MWh v danom mesiaci.</w:t>
      </w:r>
    </w:p>
    <w:p w14:paraId="229766DB" w14:textId="6201E508" w:rsidR="001347D1" w:rsidRPr="00DE7D44" w:rsidRDefault="0058352F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Ak je výsledkom výpočtu výslednej ceny záporné číslo, cena bude rovná 0,01 EUR/MWh.</w:t>
      </w:r>
    </w:p>
    <w:p w14:paraId="458B4070" w14:textId="6E98B7F2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Pre OM bez inštalovaného </w:t>
      </w:r>
      <w:proofErr w:type="spellStart"/>
      <w:r w:rsidRPr="00DE7D44">
        <w:rPr>
          <w:rFonts w:ascii="Arial" w:hAnsi="Arial" w:cs="Arial"/>
          <w:sz w:val="20"/>
          <w:szCs w:val="20"/>
        </w:rPr>
        <w:t>priebehového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merania:</w:t>
      </w:r>
    </w:p>
    <w:p w14:paraId="0A33E3CE" w14:textId="77777777" w:rsidR="001F53A9" w:rsidRPr="00DE7D44" w:rsidRDefault="001F53A9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 xml:space="preserve">Jednotková cena za dodanie 1 MWh elektriny v príslušnom kalendárnom roku bola stanovená ako priemer cien pre všetky odberné miesta odberateľa s </w:t>
      </w:r>
      <w:proofErr w:type="spellStart"/>
      <w:r w:rsidRPr="00DE7D44">
        <w:rPr>
          <w:rFonts w:ascii="Arial" w:hAnsi="Arial" w:cs="Arial"/>
          <w:sz w:val="20"/>
          <w:szCs w:val="20"/>
        </w:rPr>
        <w:t>priebehovým</w:t>
      </w:r>
      <w:proofErr w:type="spellEnd"/>
      <w:r w:rsidRPr="00DE7D44">
        <w:rPr>
          <w:rFonts w:ascii="Arial" w:hAnsi="Arial" w:cs="Arial"/>
          <w:sz w:val="20"/>
          <w:szCs w:val="20"/>
        </w:rPr>
        <w:t xml:space="preserve"> meraním počas kalendárneho roka.</w:t>
      </w:r>
    </w:p>
    <w:p w14:paraId="59C23F63" w14:textId="70618A41" w:rsidR="00812216" w:rsidRPr="00DE7D44" w:rsidRDefault="00B56AA0" w:rsidP="00DE7D44">
      <w:pPr>
        <w:jc w:val="both"/>
        <w:rPr>
          <w:rFonts w:ascii="Arial" w:hAnsi="Arial" w:cs="Arial"/>
          <w:sz w:val="20"/>
          <w:szCs w:val="20"/>
        </w:rPr>
      </w:pPr>
      <w:r w:rsidRPr="00DE7D44">
        <w:rPr>
          <w:rFonts w:ascii="Arial" w:hAnsi="Arial" w:cs="Arial"/>
          <w:sz w:val="20"/>
          <w:szCs w:val="20"/>
        </w:rPr>
        <w:t>Výsledná fakturačná cena bude vypočítaná</w:t>
      </w:r>
      <w:r w:rsidR="00607744" w:rsidRPr="00DE7D44">
        <w:rPr>
          <w:rFonts w:ascii="Arial" w:hAnsi="Arial" w:cs="Arial"/>
          <w:sz w:val="20"/>
          <w:szCs w:val="20"/>
        </w:rPr>
        <w:t xml:space="preserve"> agregovane</w:t>
      </w:r>
      <w:r w:rsidRPr="00DE7D44">
        <w:rPr>
          <w:rFonts w:ascii="Arial" w:hAnsi="Arial" w:cs="Arial"/>
          <w:sz w:val="20"/>
          <w:szCs w:val="20"/>
        </w:rPr>
        <w:t xml:space="preserve"> pre cel</w:t>
      </w:r>
      <w:r w:rsidR="00607744" w:rsidRPr="00DE7D44">
        <w:rPr>
          <w:rFonts w:ascii="Arial" w:hAnsi="Arial" w:cs="Arial"/>
          <w:sz w:val="20"/>
          <w:szCs w:val="20"/>
        </w:rPr>
        <w:t>ú Skupinu odberateľov.</w:t>
      </w:r>
      <w:r w:rsidR="00331F93" w:rsidRPr="00DE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139B" w:rsidRPr="00DE7D44">
        <w:rPr>
          <w:rFonts w:ascii="Arial" w:hAnsi="Arial" w:cs="Arial"/>
          <w:sz w:val="20"/>
          <w:szCs w:val="20"/>
        </w:rPr>
        <w:t>Forwardový</w:t>
      </w:r>
      <w:proofErr w:type="spellEnd"/>
      <w:r w:rsidR="007C139B" w:rsidRPr="00DE7D44">
        <w:rPr>
          <w:rFonts w:ascii="Arial" w:hAnsi="Arial" w:cs="Arial"/>
          <w:sz w:val="20"/>
          <w:szCs w:val="20"/>
        </w:rPr>
        <w:t xml:space="preserve"> nákup sa rozpočíta alikvotne podľa množstva</w:t>
      </w:r>
      <w:r w:rsidR="00FA3326" w:rsidRPr="00DE7D44">
        <w:rPr>
          <w:rFonts w:ascii="Arial" w:hAnsi="Arial" w:cs="Arial"/>
          <w:sz w:val="20"/>
          <w:szCs w:val="20"/>
        </w:rPr>
        <w:t xml:space="preserve"> odberateľov danej </w:t>
      </w:r>
      <w:r w:rsidR="007A2893">
        <w:rPr>
          <w:rFonts w:ascii="Arial" w:hAnsi="Arial" w:cs="Arial"/>
          <w:sz w:val="20"/>
          <w:szCs w:val="20"/>
        </w:rPr>
        <w:t>s</w:t>
      </w:r>
      <w:r w:rsidR="00FA3326" w:rsidRPr="00DE7D44">
        <w:rPr>
          <w:rFonts w:ascii="Arial" w:hAnsi="Arial" w:cs="Arial"/>
          <w:sz w:val="20"/>
          <w:szCs w:val="20"/>
        </w:rPr>
        <w:t>kupiny</w:t>
      </w:r>
      <w:r w:rsidR="00E01932" w:rsidRPr="00DE7D44">
        <w:rPr>
          <w:rFonts w:ascii="Arial" w:hAnsi="Arial" w:cs="Arial"/>
          <w:sz w:val="20"/>
          <w:szCs w:val="20"/>
        </w:rPr>
        <w:t xml:space="preserve"> na celkovej sume predpokladaného množstva </w:t>
      </w:r>
      <w:r w:rsidR="007A2893">
        <w:rPr>
          <w:rFonts w:ascii="Arial" w:hAnsi="Arial" w:cs="Arial"/>
          <w:sz w:val="20"/>
          <w:szCs w:val="20"/>
        </w:rPr>
        <w:t>s</w:t>
      </w:r>
      <w:r w:rsidR="00E01932" w:rsidRPr="00DE7D44">
        <w:rPr>
          <w:rFonts w:ascii="Arial" w:hAnsi="Arial" w:cs="Arial"/>
          <w:sz w:val="20"/>
          <w:szCs w:val="20"/>
        </w:rPr>
        <w:t>kupiny odberateľov.</w:t>
      </w:r>
    </w:p>
    <w:p w14:paraId="54518532" w14:textId="2A562C8C" w:rsidR="00C72E0B" w:rsidRPr="00DE7D44" w:rsidRDefault="00C72E0B" w:rsidP="00DE7D44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C72E0B" w:rsidRPr="00DE7D4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6C1C" w14:textId="77777777" w:rsidR="00390FDD" w:rsidRDefault="00390FDD" w:rsidP="00DE7D44">
      <w:pPr>
        <w:spacing w:after="0" w:line="240" w:lineRule="auto"/>
      </w:pPr>
      <w:r>
        <w:separator/>
      </w:r>
    </w:p>
  </w:endnote>
  <w:endnote w:type="continuationSeparator" w:id="0">
    <w:p w14:paraId="2899BEDA" w14:textId="77777777" w:rsidR="00390FDD" w:rsidRDefault="00390FDD" w:rsidP="00DE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CBF6" w14:textId="77777777" w:rsidR="00390FDD" w:rsidRDefault="00390FDD" w:rsidP="00DE7D44">
      <w:pPr>
        <w:spacing w:after="0" w:line="240" w:lineRule="auto"/>
      </w:pPr>
      <w:r>
        <w:separator/>
      </w:r>
    </w:p>
  </w:footnote>
  <w:footnote w:type="continuationSeparator" w:id="0">
    <w:p w14:paraId="48B2797F" w14:textId="77777777" w:rsidR="00390FDD" w:rsidRDefault="00390FDD" w:rsidP="00DE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B846" w14:textId="77777777" w:rsidR="00E140DD" w:rsidRDefault="00E140DD" w:rsidP="00E140D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954F4B6" wp14:editId="5B3CCCA6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PTK</w:t>
    </w:r>
    <w:r w:rsidRPr="00B520B5">
      <w:rPr>
        <w:rFonts w:ascii="Arial" w:hAnsi="Arial" w:cs="Arial"/>
        <w:sz w:val="20"/>
        <w:szCs w:val="20"/>
      </w:rPr>
      <w:t>-202</w:t>
    </w:r>
    <w:r>
      <w:rPr>
        <w:rFonts w:ascii="Arial" w:hAnsi="Arial" w:cs="Arial"/>
        <w:sz w:val="20"/>
        <w:szCs w:val="20"/>
      </w:rPr>
      <w:t>4</w:t>
    </w:r>
    <w:r w:rsidRPr="00B520B5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1</w:t>
    </w:r>
  </w:p>
  <w:p w14:paraId="22D23097" w14:textId="0886E900" w:rsidR="00E140DD" w:rsidRPr="00B520B5" w:rsidRDefault="00E140DD" w:rsidP="00E140DD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Príloha č. 1</w:t>
    </w:r>
  </w:p>
  <w:p w14:paraId="43B94A8A" w14:textId="77777777" w:rsidR="00E140DD" w:rsidRDefault="00E140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D0B"/>
    <w:multiLevelType w:val="hybridMultilevel"/>
    <w:tmpl w:val="41DAADD6"/>
    <w:lvl w:ilvl="0" w:tplc="B140976A">
      <w:numFmt w:val="bullet"/>
      <w:lvlText w:val="-"/>
      <w:lvlJc w:val="left"/>
      <w:pPr>
        <w:ind w:left="1065" w:hanging="705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2EB2"/>
    <w:multiLevelType w:val="hybridMultilevel"/>
    <w:tmpl w:val="38FEEEA6"/>
    <w:lvl w:ilvl="0" w:tplc="B140976A">
      <w:numFmt w:val="bullet"/>
      <w:lvlText w:val="-"/>
      <w:lvlJc w:val="left"/>
      <w:pPr>
        <w:ind w:left="1065" w:hanging="705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109"/>
    <w:multiLevelType w:val="hybridMultilevel"/>
    <w:tmpl w:val="71A4228E"/>
    <w:lvl w:ilvl="0" w:tplc="FC423D3C">
      <w:start w:val="4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0291"/>
    <w:multiLevelType w:val="hybridMultilevel"/>
    <w:tmpl w:val="6382D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1568D"/>
    <w:multiLevelType w:val="hybridMultilevel"/>
    <w:tmpl w:val="60340374"/>
    <w:lvl w:ilvl="0" w:tplc="041B000F">
      <w:start w:val="1"/>
      <w:numFmt w:val="decimal"/>
      <w:lvlText w:val="%1."/>
      <w:lvlJc w:val="left"/>
      <w:pPr>
        <w:ind w:left="153" w:hanging="360"/>
      </w:p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2807859"/>
    <w:multiLevelType w:val="hybridMultilevel"/>
    <w:tmpl w:val="47842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647F"/>
    <w:multiLevelType w:val="hybridMultilevel"/>
    <w:tmpl w:val="F4F62520"/>
    <w:lvl w:ilvl="0" w:tplc="9B7A13B8">
      <w:start w:val="145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10852"/>
    <w:multiLevelType w:val="hybridMultilevel"/>
    <w:tmpl w:val="ADD09AB8"/>
    <w:lvl w:ilvl="0" w:tplc="9B7A13B8">
      <w:start w:val="145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1DD9"/>
    <w:multiLevelType w:val="hybridMultilevel"/>
    <w:tmpl w:val="AD3EC300"/>
    <w:lvl w:ilvl="0" w:tplc="FC423D3C">
      <w:start w:val="4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B1581"/>
    <w:multiLevelType w:val="hybridMultilevel"/>
    <w:tmpl w:val="4A26EFA0"/>
    <w:lvl w:ilvl="0" w:tplc="B140976A">
      <w:numFmt w:val="bullet"/>
      <w:lvlText w:val="-"/>
      <w:lvlJc w:val="left"/>
      <w:pPr>
        <w:ind w:left="1065" w:hanging="705"/>
      </w:pPr>
      <w:rPr>
        <w:rFonts w:ascii="Aptos Narrow" w:eastAsiaTheme="minorHAnsi" w:hAnsi="Aptos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1582A"/>
    <w:multiLevelType w:val="hybridMultilevel"/>
    <w:tmpl w:val="818C5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C0D0F"/>
    <w:multiLevelType w:val="hybridMultilevel"/>
    <w:tmpl w:val="8A1CDF22"/>
    <w:lvl w:ilvl="0" w:tplc="D9C891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7324">
    <w:abstractNumId w:val="11"/>
  </w:num>
  <w:num w:numId="2" w16cid:durableId="622076598">
    <w:abstractNumId w:val="6"/>
  </w:num>
  <w:num w:numId="3" w16cid:durableId="639267104">
    <w:abstractNumId w:val="5"/>
  </w:num>
  <w:num w:numId="4" w16cid:durableId="150298741">
    <w:abstractNumId w:val="3"/>
  </w:num>
  <w:num w:numId="5" w16cid:durableId="1952009135">
    <w:abstractNumId w:val="10"/>
  </w:num>
  <w:num w:numId="6" w16cid:durableId="1448889163">
    <w:abstractNumId w:val="7"/>
  </w:num>
  <w:num w:numId="7" w16cid:durableId="273900656">
    <w:abstractNumId w:val="0"/>
  </w:num>
  <w:num w:numId="8" w16cid:durableId="279148508">
    <w:abstractNumId w:val="1"/>
  </w:num>
  <w:num w:numId="9" w16cid:durableId="1883901195">
    <w:abstractNumId w:val="8"/>
  </w:num>
  <w:num w:numId="10" w16cid:durableId="1086075235">
    <w:abstractNumId w:val="9"/>
  </w:num>
  <w:num w:numId="11" w16cid:durableId="478421434">
    <w:abstractNumId w:val="2"/>
  </w:num>
  <w:num w:numId="12" w16cid:durableId="163860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4D"/>
    <w:rsid w:val="00006A49"/>
    <w:rsid w:val="00007D0A"/>
    <w:rsid w:val="0001096F"/>
    <w:rsid w:val="00011D00"/>
    <w:rsid w:val="00016BF4"/>
    <w:rsid w:val="00017C84"/>
    <w:rsid w:val="00020D95"/>
    <w:rsid w:val="00023DF2"/>
    <w:rsid w:val="00024E82"/>
    <w:rsid w:val="000308BD"/>
    <w:rsid w:val="000502E1"/>
    <w:rsid w:val="00063D5C"/>
    <w:rsid w:val="00071E2D"/>
    <w:rsid w:val="00086BE6"/>
    <w:rsid w:val="0008707A"/>
    <w:rsid w:val="00092F92"/>
    <w:rsid w:val="0009377D"/>
    <w:rsid w:val="000A06FD"/>
    <w:rsid w:val="000A1DE5"/>
    <w:rsid w:val="000B51AB"/>
    <w:rsid w:val="000C0AA7"/>
    <w:rsid w:val="000C3E17"/>
    <w:rsid w:val="000C42A2"/>
    <w:rsid w:val="000C6583"/>
    <w:rsid w:val="000E12D5"/>
    <w:rsid w:val="000E3A69"/>
    <w:rsid w:val="00102A7A"/>
    <w:rsid w:val="001066EA"/>
    <w:rsid w:val="001078A6"/>
    <w:rsid w:val="0011086B"/>
    <w:rsid w:val="0011533F"/>
    <w:rsid w:val="00116CA8"/>
    <w:rsid w:val="00127CE6"/>
    <w:rsid w:val="001342C2"/>
    <w:rsid w:val="001347D1"/>
    <w:rsid w:val="001443BA"/>
    <w:rsid w:val="001645A6"/>
    <w:rsid w:val="0016624C"/>
    <w:rsid w:val="0016664D"/>
    <w:rsid w:val="00166769"/>
    <w:rsid w:val="001936ED"/>
    <w:rsid w:val="00193E5E"/>
    <w:rsid w:val="00197BB0"/>
    <w:rsid w:val="001A55A3"/>
    <w:rsid w:val="001B75C6"/>
    <w:rsid w:val="001D4F53"/>
    <w:rsid w:val="001E0D57"/>
    <w:rsid w:val="001E7304"/>
    <w:rsid w:val="001F04B1"/>
    <w:rsid w:val="001F23B3"/>
    <w:rsid w:val="001F53A9"/>
    <w:rsid w:val="00205FB8"/>
    <w:rsid w:val="002061E6"/>
    <w:rsid w:val="00215DA2"/>
    <w:rsid w:val="0022120B"/>
    <w:rsid w:val="00231036"/>
    <w:rsid w:val="00232C7D"/>
    <w:rsid w:val="00233434"/>
    <w:rsid w:val="00237DC7"/>
    <w:rsid w:val="00240147"/>
    <w:rsid w:val="00261F8B"/>
    <w:rsid w:val="00265C48"/>
    <w:rsid w:val="00274C58"/>
    <w:rsid w:val="002807BC"/>
    <w:rsid w:val="00294639"/>
    <w:rsid w:val="00297E48"/>
    <w:rsid w:val="002A5014"/>
    <w:rsid w:val="002A5F52"/>
    <w:rsid w:val="002B595A"/>
    <w:rsid w:val="002B60DB"/>
    <w:rsid w:val="002F4133"/>
    <w:rsid w:val="002F4630"/>
    <w:rsid w:val="002F59C8"/>
    <w:rsid w:val="00301A6B"/>
    <w:rsid w:val="00331A8B"/>
    <w:rsid w:val="00331F93"/>
    <w:rsid w:val="00342208"/>
    <w:rsid w:val="003507C6"/>
    <w:rsid w:val="00352AAC"/>
    <w:rsid w:val="00362272"/>
    <w:rsid w:val="00367B3A"/>
    <w:rsid w:val="00384D38"/>
    <w:rsid w:val="00390FDD"/>
    <w:rsid w:val="003925F2"/>
    <w:rsid w:val="0039302B"/>
    <w:rsid w:val="003A28FB"/>
    <w:rsid w:val="003A3C60"/>
    <w:rsid w:val="003A4440"/>
    <w:rsid w:val="003A6C79"/>
    <w:rsid w:val="003B1AE7"/>
    <w:rsid w:val="003B5551"/>
    <w:rsid w:val="003B5852"/>
    <w:rsid w:val="003B5AA8"/>
    <w:rsid w:val="003D641B"/>
    <w:rsid w:val="003E399E"/>
    <w:rsid w:val="003E4AAF"/>
    <w:rsid w:val="003F27F3"/>
    <w:rsid w:val="004113A6"/>
    <w:rsid w:val="00416E07"/>
    <w:rsid w:val="00421C1F"/>
    <w:rsid w:val="0043564D"/>
    <w:rsid w:val="00436463"/>
    <w:rsid w:val="00442384"/>
    <w:rsid w:val="00452064"/>
    <w:rsid w:val="00455150"/>
    <w:rsid w:val="00461867"/>
    <w:rsid w:val="004A5823"/>
    <w:rsid w:val="004C5939"/>
    <w:rsid w:val="004C768E"/>
    <w:rsid w:val="004E29DF"/>
    <w:rsid w:val="004E56B9"/>
    <w:rsid w:val="004E6281"/>
    <w:rsid w:val="004F2814"/>
    <w:rsid w:val="004F46AE"/>
    <w:rsid w:val="00506399"/>
    <w:rsid w:val="00512DE9"/>
    <w:rsid w:val="005216C1"/>
    <w:rsid w:val="00525D2C"/>
    <w:rsid w:val="0053711D"/>
    <w:rsid w:val="00564FF7"/>
    <w:rsid w:val="0058352F"/>
    <w:rsid w:val="00586E85"/>
    <w:rsid w:val="005B664D"/>
    <w:rsid w:val="005C2CC3"/>
    <w:rsid w:val="005C4267"/>
    <w:rsid w:val="005C7CC4"/>
    <w:rsid w:val="005D585A"/>
    <w:rsid w:val="005E15E3"/>
    <w:rsid w:val="005F59BD"/>
    <w:rsid w:val="00601715"/>
    <w:rsid w:val="00602012"/>
    <w:rsid w:val="00607744"/>
    <w:rsid w:val="00607E8F"/>
    <w:rsid w:val="00616006"/>
    <w:rsid w:val="00621CC3"/>
    <w:rsid w:val="00627899"/>
    <w:rsid w:val="00631A17"/>
    <w:rsid w:val="0063374C"/>
    <w:rsid w:val="00636F75"/>
    <w:rsid w:val="00652D9E"/>
    <w:rsid w:val="006564C4"/>
    <w:rsid w:val="00662299"/>
    <w:rsid w:val="00663557"/>
    <w:rsid w:val="00674B2A"/>
    <w:rsid w:val="00675676"/>
    <w:rsid w:val="00675F99"/>
    <w:rsid w:val="00681358"/>
    <w:rsid w:val="006840B0"/>
    <w:rsid w:val="006B38FB"/>
    <w:rsid w:val="006D0654"/>
    <w:rsid w:val="006E3279"/>
    <w:rsid w:val="006E5778"/>
    <w:rsid w:val="006F0C58"/>
    <w:rsid w:val="006F3D14"/>
    <w:rsid w:val="00704C9C"/>
    <w:rsid w:val="007134B6"/>
    <w:rsid w:val="007205F8"/>
    <w:rsid w:val="00732B81"/>
    <w:rsid w:val="00733553"/>
    <w:rsid w:val="00743135"/>
    <w:rsid w:val="00765B38"/>
    <w:rsid w:val="0077563B"/>
    <w:rsid w:val="007772C9"/>
    <w:rsid w:val="00782639"/>
    <w:rsid w:val="00791115"/>
    <w:rsid w:val="00795918"/>
    <w:rsid w:val="007A2893"/>
    <w:rsid w:val="007A578B"/>
    <w:rsid w:val="007C139B"/>
    <w:rsid w:val="007C16DF"/>
    <w:rsid w:val="007C67D8"/>
    <w:rsid w:val="007C6846"/>
    <w:rsid w:val="007D752F"/>
    <w:rsid w:val="00800DBC"/>
    <w:rsid w:val="00800DED"/>
    <w:rsid w:val="00805424"/>
    <w:rsid w:val="00812216"/>
    <w:rsid w:val="0081367F"/>
    <w:rsid w:val="00816D3A"/>
    <w:rsid w:val="00834BD8"/>
    <w:rsid w:val="00835318"/>
    <w:rsid w:val="0083596E"/>
    <w:rsid w:val="008464B9"/>
    <w:rsid w:val="00846AAF"/>
    <w:rsid w:val="00850278"/>
    <w:rsid w:val="008630EC"/>
    <w:rsid w:val="00863A66"/>
    <w:rsid w:val="00865A54"/>
    <w:rsid w:val="008827FA"/>
    <w:rsid w:val="00886B4A"/>
    <w:rsid w:val="0089346B"/>
    <w:rsid w:val="00894993"/>
    <w:rsid w:val="008A4927"/>
    <w:rsid w:val="008A4C93"/>
    <w:rsid w:val="008C0765"/>
    <w:rsid w:val="008C5B6B"/>
    <w:rsid w:val="008D58C1"/>
    <w:rsid w:val="008E007F"/>
    <w:rsid w:val="008E65AE"/>
    <w:rsid w:val="008F4256"/>
    <w:rsid w:val="0091322D"/>
    <w:rsid w:val="009307BD"/>
    <w:rsid w:val="009603E6"/>
    <w:rsid w:val="009705B6"/>
    <w:rsid w:val="00977E69"/>
    <w:rsid w:val="009966E9"/>
    <w:rsid w:val="009969CC"/>
    <w:rsid w:val="00996E5A"/>
    <w:rsid w:val="009B4381"/>
    <w:rsid w:val="009B4A6E"/>
    <w:rsid w:val="009C7627"/>
    <w:rsid w:val="009C7BF1"/>
    <w:rsid w:val="009D4EA9"/>
    <w:rsid w:val="009E4A75"/>
    <w:rsid w:val="00A07E38"/>
    <w:rsid w:val="00A116FA"/>
    <w:rsid w:val="00A54B6C"/>
    <w:rsid w:val="00A54D8E"/>
    <w:rsid w:val="00A626A3"/>
    <w:rsid w:val="00A709A6"/>
    <w:rsid w:val="00A75043"/>
    <w:rsid w:val="00A75215"/>
    <w:rsid w:val="00A81F7E"/>
    <w:rsid w:val="00A91752"/>
    <w:rsid w:val="00A9396D"/>
    <w:rsid w:val="00A97D1E"/>
    <w:rsid w:val="00AA153F"/>
    <w:rsid w:val="00AA3BD9"/>
    <w:rsid w:val="00AB5CC5"/>
    <w:rsid w:val="00AB79BB"/>
    <w:rsid w:val="00AC4F58"/>
    <w:rsid w:val="00AD55D6"/>
    <w:rsid w:val="00AD7BD6"/>
    <w:rsid w:val="00AE5554"/>
    <w:rsid w:val="00AF7823"/>
    <w:rsid w:val="00B131F8"/>
    <w:rsid w:val="00B21C91"/>
    <w:rsid w:val="00B474ED"/>
    <w:rsid w:val="00B54664"/>
    <w:rsid w:val="00B56AA0"/>
    <w:rsid w:val="00B60F2A"/>
    <w:rsid w:val="00B65435"/>
    <w:rsid w:val="00B908B7"/>
    <w:rsid w:val="00B93D4D"/>
    <w:rsid w:val="00B96A3D"/>
    <w:rsid w:val="00B973BA"/>
    <w:rsid w:val="00BC33FC"/>
    <w:rsid w:val="00BD09C3"/>
    <w:rsid w:val="00BD3445"/>
    <w:rsid w:val="00BE3C0C"/>
    <w:rsid w:val="00BF58CA"/>
    <w:rsid w:val="00C0164D"/>
    <w:rsid w:val="00C03110"/>
    <w:rsid w:val="00C33294"/>
    <w:rsid w:val="00C33DB1"/>
    <w:rsid w:val="00C34092"/>
    <w:rsid w:val="00C37646"/>
    <w:rsid w:val="00C45FEB"/>
    <w:rsid w:val="00C512C9"/>
    <w:rsid w:val="00C72E0B"/>
    <w:rsid w:val="00C75368"/>
    <w:rsid w:val="00C75F26"/>
    <w:rsid w:val="00C76712"/>
    <w:rsid w:val="00C77C10"/>
    <w:rsid w:val="00C97410"/>
    <w:rsid w:val="00CB01D9"/>
    <w:rsid w:val="00CC01DC"/>
    <w:rsid w:val="00CC6987"/>
    <w:rsid w:val="00CC71C3"/>
    <w:rsid w:val="00CE2053"/>
    <w:rsid w:val="00D046BC"/>
    <w:rsid w:val="00D0481B"/>
    <w:rsid w:val="00D12202"/>
    <w:rsid w:val="00D15596"/>
    <w:rsid w:val="00D16DF2"/>
    <w:rsid w:val="00D36CA3"/>
    <w:rsid w:val="00D40D00"/>
    <w:rsid w:val="00D57355"/>
    <w:rsid w:val="00D64283"/>
    <w:rsid w:val="00D67735"/>
    <w:rsid w:val="00D83E92"/>
    <w:rsid w:val="00D8777C"/>
    <w:rsid w:val="00D95D4F"/>
    <w:rsid w:val="00DA2C53"/>
    <w:rsid w:val="00DB4EF9"/>
    <w:rsid w:val="00DD6C6F"/>
    <w:rsid w:val="00DE17DC"/>
    <w:rsid w:val="00DE461D"/>
    <w:rsid w:val="00DE7D44"/>
    <w:rsid w:val="00DF074D"/>
    <w:rsid w:val="00E00FA6"/>
    <w:rsid w:val="00E01932"/>
    <w:rsid w:val="00E140DD"/>
    <w:rsid w:val="00E31291"/>
    <w:rsid w:val="00E3157F"/>
    <w:rsid w:val="00E34DC3"/>
    <w:rsid w:val="00E43CB7"/>
    <w:rsid w:val="00E605E1"/>
    <w:rsid w:val="00E65930"/>
    <w:rsid w:val="00E65C74"/>
    <w:rsid w:val="00E714F5"/>
    <w:rsid w:val="00E721AE"/>
    <w:rsid w:val="00E74013"/>
    <w:rsid w:val="00E944EB"/>
    <w:rsid w:val="00EA047D"/>
    <w:rsid w:val="00EC0E85"/>
    <w:rsid w:val="00EC1749"/>
    <w:rsid w:val="00EC47F9"/>
    <w:rsid w:val="00ED2AC5"/>
    <w:rsid w:val="00EF2E99"/>
    <w:rsid w:val="00EF31C0"/>
    <w:rsid w:val="00F01C71"/>
    <w:rsid w:val="00F039D2"/>
    <w:rsid w:val="00F05923"/>
    <w:rsid w:val="00F33AE5"/>
    <w:rsid w:val="00F4167E"/>
    <w:rsid w:val="00F477F4"/>
    <w:rsid w:val="00F60CD9"/>
    <w:rsid w:val="00F769BB"/>
    <w:rsid w:val="00F85401"/>
    <w:rsid w:val="00FA3326"/>
    <w:rsid w:val="00FA6D35"/>
    <w:rsid w:val="00FB6E2D"/>
    <w:rsid w:val="00FC112C"/>
    <w:rsid w:val="00FC5A50"/>
    <w:rsid w:val="00FD7D59"/>
    <w:rsid w:val="00FE01D7"/>
    <w:rsid w:val="17D18163"/>
    <w:rsid w:val="1DEF8C02"/>
    <w:rsid w:val="27F62011"/>
    <w:rsid w:val="386F7DC9"/>
    <w:rsid w:val="77D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C8C2"/>
  <w15:chartTrackingRefBased/>
  <w15:docId w15:val="{97E71F7E-CBAE-43FC-AFF8-F710039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66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66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66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66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66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66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66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66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66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66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664D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110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08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086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08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086B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5E15E3"/>
    <w:rPr>
      <w:color w:val="666666"/>
    </w:rPr>
  </w:style>
  <w:style w:type="table" w:styleId="Mriekatabuky">
    <w:name w:val="Table Grid"/>
    <w:basedOn w:val="Normlnatabuka"/>
    <w:uiPriority w:val="39"/>
    <w:rsid w:val="009B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3329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329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DE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E7D44"/>
  </w:style>
  <w:style w:type="paragraph" w:styleId="Pta">
    <w:name w:val="footer"/>
    <w:basedOn w:val="Normlny"/>
    <w:link w:val="PtaChar"/>
    <w:uiPriority w:val="99"/>
    <w:unhideWhenUsed/>
    <w:rsid w:val="00DE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x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kte.sk/sk/kratkodoby-trh/zverejnenie-udajov-dt/celkove-vysledky-d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kte.s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kte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kte.sk/sk/kratkodoby-trh/zverejnenie-udajov-dt/celkove-vysledky-d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361ced-ccb3-4097-b6a6-17ee12a75865">
      <UserInfo>
        <DisplayName>Ján Polerecký</DisplayName>
        <AccountId>28</AccountId>
        <AccountType/>
      </UserInfo>
      <UserInfo>
        <DisplayName>Juraj Nyulassy</DisplayName>
        <AccountId>10</AccountId>
        <AccountType/>
      </UserInfo>
      <UserInfo>
        <DisplayName>Zuzana Jamnická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6" ma:contentTypeDescription="Umožňuje vytvoriť nový dokument." ma:contentTypeScope="" ma:versionID="26ce461de950ef1614ee1d044b61b440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137f2813a55c29d0e0b00d676d086584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9B4FC-CCD0-4111-9348-4476DADD2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20BEF-C80D-4E71-A204-0660C39F7C10}">
  <ds:schemaRefs>
    <ds:schemaRef ds:uri="http://schemas.microsoft.com/office/2006/metadata/properties"/>
    <ds:schemaRef ds:uri="http://schemas.microsoft.com/office/infopath/2007/PartnerControls"/>
    <ds:schemaRef ds:uri="cd361ced-ccb3-4097-b6a6-17ee12a75865"/>
  </ds:schemaRefs>
</ds:datastoreItem>
</file>

<file path=customXml/itemProps3.xml><?xml version="1.0" encoding="utf-8"?>
<ds:datastoreItem xmlns:ds="http://schemas.openxmlformats.org/officeDocument/2006/customXml" ds:itemID="{E5E187D9-7FCA-4543-AEB5-A8F3A34A7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8</Pages>
  <Words>2993</Words>
  <Characters>17061</Characters>
  <Application>Microsoft Office Word</Application>
  <DocSecurity>0</DocSecurity>
  <Lines>142</Lines>
  <Paragraphs>40</Paragraphs>
  <ScaleCrop>false</ScaleCrop>
  <Company/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Polerecký</dc:creator>
  <cp:keywords/>
  <dc:description/>
  <cp:lastModifiedBy>Zuzana Jamnická</cp:lastModifiedBy>
  <cp:revision>97</cp:revision>
  <dcterms:created xsi:type="dcterms:W3CDTF">2024-05-06T09:41:00Z</dcterms:created>
  <dcterms:modified xsi:type="dcterms:W3CDTF">2024-05-08T09:19:00Z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