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9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9025"/>
        <w:gridCol w:w="6"/>
      </w:tblGrid>
      <w:tr w:rsidR="00BB1940" w:rsidRPr="00BB1940" w:rsidTr="007A4D41">
        <w:trPr>
          <w:trHeight w:val="511"/>
        </w:trPr>
        <w:tc>
          <w:tcPr>
            <w:tcW w:w="10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940" w:rsidRPr="009F019A" w:rsidRDefault="00BB1940" w:rsidP="00BF2C4D">
            <w:pPr>
              <w:spacing w:line="276" w:lineRule="auto"/>
              <w:ind w:right="1212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bookmarkStart w:id="0" w:name="_GoBack"/>
            <w:bookmarkEnd w:id="0"/>
            <w:r w:rsidRPr="009F019A">
              <w:rPr>
                <w:rFonts w:ascii="Arial Narrow" w:hAnsi="Arial Narrow"/>
                <w:b/>
                <w:bCs/>
                <w:color w:val="1F4E79" w:themeColor="accent1" w:themeShade="80"/>
              </w:rPr>
              <w:t>Položka č.  – SW k výjazdovému tabletu a</w:t>
            </w:r>
            <w:r w:rsidR="00E001FE">
              <w:rPr>
                <w:rFonts w:ascii="Arial Narrow" w:hAnsi="Arial Narrow"/>
                <w:b/>
                <w:bCs/>
                <w:color w:val="1F4E79" w:themeColor="accent1" w:themeShade="80"/>
              </w:rPr>
              <w:t xml:space="preserve"> SW </w:t>
            </w:r>
            <w:r w:rsidRPr="009F019A">
              <w:rPr>
                <w:rFonts w:ascii="Arial Narrow" w:hAnsi="Arial Narrow"/>
                <w:b/>
                <w:bCs/>
                <w:color w:val="1F4E79" w:themeColor="accent1" w:themeShade="80"/>
              </w:rPr>
              <w:t>pre centrálnu serverovú aplikáciu</w:t>
            </w:r>
          </w:p>
        </w:tc>
      </w:tr>
      <w:tr w:rsidR="006A1057" w:rsidRPr="006A1057" w:rsidTr="007A4D41">
        <w:trPr>
          <w:gridAfter w:val="1"/>
          <w:wAfter w:w="6" w:type="dxa"/>
          <w:trHeight w:val="347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1940" w:rsidRPr="009F019A" w:rsidRDefault="00BB1940">
            <w:pPr>
              <w:spacing w:line="276" w:lineRule="auto"/>
              <w:rPr>
                <w:rFonts w:ascii="Arial Narrow" w:hAnsi="Arial Narrow"/>
                <w:b/>
                <w:bCs/>
                <w:color w:val="1F4E79" w:themeColor="accent1" w:themeShade="80"/>
                <w:szCs w:val="24"/>
              </w:rPr>
            </w:pPr>
            <w:r w:rsidRPr="009F019A">
              <w:rPr>
                <w:rFonts w:ascii="Arial Narrow" w:hAnsi="Arial Narrow"/>
                <w:b/>
                <w:bCs/>
                <w:color w:val="1F4E79" w:themeColor="accent1" w:themeShade="80"/>
                <w:szCs w:val="24"/>
              </w:rPr>
              <w:t>Množstvo: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19A" w:rsidRPr="00667D2F" w:rsidRDefault="00BB1940" w:rsidP="009F019A">
            <w:pPr>
              <w:spacing w:line="276" w:lineRule="auto"/>
              <w:rPr>
                <w:rFonts w:ascii="Arial Narrow" w:hAnsi="Arial Narrow"/>
                <w:b/>
                <w:bCs/>
                <w:color w:val="00B050"/>
              </w:rPr>
            </w:pPr>
            <w:r w:rsidRPr="00667D2F">
              <w:rPr>
                <w:rFonts w:ascii="Arial Narrow" w:hAnsi="Arial Narrow"/>
                <w:b/>
                <w:bCs/>
                <w:color w:val="00B050"/>
              </w:rPr>
              <w:t xml:space="preserve">400 ks </w:t>
            </w:r>
            <w:r w:rsidR="008F4DD4" w:rsidRPr="00667D2F">
              <w:rPr>
                <w:rFonts w:ascii="Arial Narrow" w:hAnsi="Arial Narrow"/>
                <w:b/>
                <w:bCs/>
                <w:color w:val="00B050"/>
              </w:rPr>
              <w:t xml:space="preserve">SW </w:t>
            </w:r>
            <w:r w:rsidR="00E001FE">
              <w:rPr>
                <w:rFonts w:ascii="Arial Narrow" w:hAnsi="Arial Narrow"/>
                <w:b/>
                <w:bCs/>
                <w:color w:val="00B050"/>
              </w:rPr>
              <w:t>(Tablet)</w:t>
            </w:r>
          </w:p>
          <w:p w:rsidR="00BB1940" w:rsidRPr="009F019A" w:rsidRDefault="00BB1940" w:rsidP="009F019A">
            <w:pPr>
              <w:spacing w:line="276" w:lineRule="auto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667D2F">
              <w:rPr>
                <w:rFonts w:ascii="Arial Narrow" w:hAnsi="Arial Narrow"/>
                <w:b/>
                <w:bCs/>
                <w:color w:val="00B050"/>
              </w:rPr>
              <w:t xml:space="preserve">1ks </w:t>
            </w:r>
            <w:r w:rsidR="008F4DD4" w:rsidRPr="00667D2F">
              <w:rPr>
                <w:rFonts w:ascii="Arial Narrow" w:hAnsi="Arial Narrow"/>
                <w:b/>
                <w:bCs/>
                <w:color w:val="00B050"/>
              </w:rPr>
              <w:t xml:space="preserve">SW </w:t>
            </w:r>
            <w:r w:rsidR="00E001FE">
              <w:rPr>
                <w:rFonts w:ascii="Arial Narrow" w:hAnsi="Arial Narrow"/>
                <w:b/>
                <w:bCs/>
                <w:color w:val="00B050"/>
              </w:rPr>
              <w:t>(S</w:t>
            </w:r>
            <w:r w:rsidR="009F019A" w:rsidRPr="00667D2F">
              <w:rPr>
                <w:rFonts w:ascii="Arial Narrow" w:hAnsi="Arial Narrow"/>
                <w:b/>
                <w:bCs/>
                <w:color w:val="00B050"/>
              </w:rPr>
              <w:t>erver</w:t>
            </w:r>
            <w:r w:rsidR="00E001FE">
              <w:rPr>
                <w:rFonts w:ascii="Arial Narrow" w:hAnsi="Arial Narrow"/>
                <w:b/>
                <w:bCs/>
                <w:color w:val="00B050"/>
              </w:rPr>
              <w:t>)</w:t>
            </w:r>
          </w:p>
        </w:tc>
      </w:tr>
      <w:tr w:rsidR="00BB1940" w:rsidRPr="00BB1940" w:rsidTr="007A4D41">
        <w:trPr>
          <w:trHeight w:val="300"/>
        </w:trPr>
        <w:tc>
          <w:tcPr>
            <w:tcW w:w="103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1940" w:rsidRPr="009F019A" w:rsidRDefault="00BB1940">
            <w:pPr>
              <w:spacing w:line="276" w:lineRule="auto"/>
              <w:rPr>
                <w:rFonts w:ascii="Arial Narrow" w:hAnsi="Arial Narrow"/>
                <w:b/>
                <w:bCs/>
                <w:color w:val="1F4E79" w:themeColor="accent1" w:themeShade="80"/>
                <w:szCs w:val="24"/>
              </w:rPr>
            </w:pPr>
            <w:r w:rsidRPr="009F019A">
              <w:rPr>
                <w:rFonts w:ascii="Arial Narrow" w:hAnsi="Arial Narrow"/>
                <w:b/>
                <w:bCs/>
                <w:color w:val="1F4E79" w:themeColor="accent1" w:themeShade="80"/>
                <w:szCs w:val="24"/>
              </w:rPr>
              <w:t>Popis:</w:t>
            </w:r>
          </w:p>
        </w:tc>
      </w:tr>
      <w:tr w:rsidR="00BB1940" w:rsidRPr="00BB1940" w:rsidTr="007A4D41">
        <w:trPr>
          <w:trHeight w:val="930"/>
        </w:trPr>
        <w:tc>
          <w:tcPr>
            <w:tcW w:w="103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1940" w:rsidRPr="009F019A" w:rsidRDefault="00BB1940">
            <w:pPr>
              <w:spacing w:line="252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400 ks SW na sledovanie a monitorovanie síl a prostriedkov Hasičského záchranného zboru. </w:t>
            </w:r>
            <w:r w:rsidR="003D28EE" w:rsidRPr="009F019A">
              <w:rPr>
                <w:rFonts w:asciiTheme="majorHAnsi" w:hAnsiTheme="majorHAnsi" w:cstheme="majorHAnsi"/>
                <w:sz w:val="18"/>
                <w:szCs w:val="18"/>
              </w:rPr>
              <w:t xml:space="preserve">Aplikácia bude zabezpečovať obojsmernú dátovú komunikáciu na úrovni operačného riadenia a operatívneho riadenia, </w:t>
            </w:r>
            <w:proofErr w:type="spellStart"/>
            <w:r w:rsidR="003D28EE" w:rsidRPr="009F019A">
              <w:rPr>
                <w:rFonts w:asciiTheme="majorHAnsi" w:hAnsiTheme="majorHAnsi" w:cstheme="majorHAnsi"/>
                <w:sz w:val="18"/>
                <w:szCs w:val="18"/>
              </w:rPr>
              <w:t>t.j</w:t>
            </w:r>
            <w:proofErr w:type="spellEnd"/>
            <w:r w:rsidR="003D28EE" w:rsidRPr="009F019A">
              <w:rPr>
                <w:rFonts w:asciiTheme="majorHAnsi" w:hAnsiTheme="majorHAnsi" w:cstheme="majorHAnsi"/>
                <w:sz w:val="18"/>
                <w:szCs w:val="18"/>
              </w:rPr>
              <w:t>. medzi operačným strediskom a hasičskou jednotkou. </w:t>
            </w:r>
            <w:r w:rsidR="003D28EE" w:rsidRPr="009F019A">
              <w:rPr>
                <w:rFonts w:asciiTheme="majorHAnsi" w:eastAsia="Calibri" w:hAnsiTheme="majorHAnsi" w:cstheme="majorHAnsi"/>
                <w:sz w:val="18"/>
                <w:szCs w:val="18"/>
              </w:rPr>
              <w:t>Táto aplikácia</w:t>
            </w:r>
            <w:r w:rsidRPr="009F019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zároveň zabezpečuje funkciu navigácie jednotiek Hasičského záchranného zboru počas ich presunu na miesto zásahu. Zobrazované údaje sa čerpajú </w:t>
            </w:r>
            <w:r w:rsidR="003D28EE" w:rsidRPr="009F019A">
              <w:rPr>
                <w:rFonts w:asciiTheme="majorHAnsi" w:eastAsia="Calibri" w:hAnsiTheme="majorHAnsi" w:cstheme="majorHAnsi"/>
                <w:sz w:val="18"/>
                <w:szCs w:val="18"/>
              </w:rPr>
              <w:t>zo systému podpory</w:t>
            </w:r>
            <w:r w:rsidRPr="009F019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CC4168" w:rsidRPr="009F019A">
              <w:rPr>
                <w:rFonts w:asciiTheme="majorHAnsi" w:eastAsia="Calibri" w:hAnsiTheme="majorHAnsi" w:cstheme="majorHAnsi"/>
                <w:sz w:val="18"/>
                <w:szCs w:val="18"/>
              </w:rPr>
              <w:t>používanom na úrovni operačného riadenia (ďalej len „systém podpory“)</w:t>
            </w:r>
            <w:r w:rsidRPr="009F019A">
              <w:rPr>
                <w:rFonts w:asciiTheme="majorHAnsi" w:eastAsia="Calibri" w:hAnsiTheme="majorHAnsi" w:cstheme="majorHAnsi"/>
                <w:sz w:val="18"/>
                <w:szCs w:val="18"/>
              </w:rPr>
              <w:t>,</w:t>
            </w:r>
            <w:r w:rsidR="003D28EE" w:rsidRPr="009F019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ako aj </w:t>
            </w:r>
            <w:r w:rsidRPr="009F019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z rozhrania geografického informačného systému (ďalej len GIS).</w:t>
            </w:r>
          </w:p>
          <w:p w:rsidR="00BB1940" w:rsidRPr="00BB1940" w:rsidRDefault="00BB1940" w:rsidP="00651241">
            <w:pPr>
              <w:spacing w:line="264" w:lineRule="auto"/>
              <w:jc w:val="both"/>
              <w:rPr>
                <w:rFonts w:asciiTheme="minorHAnsi" w:hAnsiTheme="minorHAnsi" w:cstheme="minorBidi"/>
                <w:b/>
                <w:bCs/>
                <w:color w:val="1F497D"/>
              </w:rPr>
            </w:pPr>
            <w:r w:rsidRPr="00651241">
              <w:rPr>
                <w:rFonts w:asciiTheme="majorHAnsi" w:eastAsia="Calibri" w:hAnsiTheme="majorHAnsi" w:cstheme="majorHAnsi"/>
                <w:sz w:val="18"/>
                <w:szCs w:val="18"/>
              </w:rPr>
              <w:t>1 ks SW pre centrálnu serverovú aplikáciu</w:t>
            </w:r>
            <w:r w:rsidR="00651241">
              <w:rPr>
                <w:rFonts w:asciiTheme="majorHAnsi" w:eastAsia="Calibri" w:hAnsiTheme="majorHAnsi" w:cstheme="majorHAnsi"/>
                <w:sz w:val="18"/>
                <w:szCs w:val="18"/>
              </w:rPr>
              <w:t>.</w:t>
            </w:r>
            <w:r w:rsidRPr="0065124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651241" w:rsidRPr="00995B2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Ponúkaný SW musí umožňovať prevádzku aplikačného serve</w:t>
            </w:r>
            <w:r w:rsidR="0065124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ra vo </w:t>
            </w:r>
            <w:proofErr w:type="spellStart"/>
            <w:r w:rsidR="0065124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virtualizovanom</w:t>
            </w:r>
            <w:proofErr w:type="spellEnd"/>
            <w:r w:rsidR="0065124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prostredí</w:t>
            </w:r>
            <w:r w:rsidR="00651241" w:rsidRPr="0065124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3D28EE" w:rsidRPr="0065124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infraštruktúry </w:t>
            </w:r>
            <w:r w:rsidRPr="00651241">
              <w:rPr>
                <w:rFonts w:asciiTheme="majorHAnsi" w:eastAsia="Calibri" w:hAnsiTheme="majorHAnsi" w:cstheme="majorHAnsi"/>
                <w:sz w:val="18"/>
                <w:szCs w:val="18"/>
              </w:rPr>
              <w:t>Ministers</w:t>
            </w:r>
            <w:r w:rsidR="00651241">
              <w:rPr>
                <w:rFonts w:asciiTheme="majorHAnsi" w:eastAsia="Calibri" w:hAnsiTheme="majorHAnsi" w:cstheme="majorHAnsi"/>
                <w:sz w:val="18"/>
                <w:szCs w:val="18"/>
              </w:rPr>
              <w:t>tva vnútra Slovenskej republiky.</w:t>
            </w:r>
          </w:p>
        </w:tc>
      </w:tr>
      <w:tr w:rsidR="00BB1940" w:rsidRPr="00BB1940" w:rsidTr="007A4D41">
        <w:trPr>
          <w:trHeight w:val="300"/>
        </w:trPr>
        <w:tc>
          <w:tcPr>
            <w:tcW w:w="103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1940" w:rsidRPr="00BB1940" w:rsidRDefault="00BB194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667D2F">
              <w:rPr>
                <w:rFonts w:ascii="Arial Narrow" w:hAnsi="Arial Narrow"/>
                <w:b/>
                <w:bCs/>
                <w:color w:val="00B050"/>
              </w:rPr>
              <w:t>SW k výjazdovému tabletu</w:t>
            </w:r>
          </w:p>
        </w:tc>
      </w:tr>
      <w:tr w:rsidR="00D9260C" w:rsidRPr="00BB1940" w:rsidTr="001D431F">
        <w:trPr>
          <w:gridAfter w:val="1"/>
          <w:wAfter w:w="6" w:type="dxa"/>
          <w:trHeight w:val="80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260C" w:rsidRPr="00C274AA" w:rsidRDefault="00E65C9D" w:rsidP="00E65C9D">
            <w:pPr>
              <w:spacing w:line="252" w:lineRule="auto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>
              <w:rPr>
                <w:rFonts w:ascii="Arial Narrow" w:hAnsi="Arial Narrow"/>
                <w:b/>
                <w:bCs/>
                <w:color w:val="1F4E79" w:themeColor="accent1" w:themeShade="80"/>
              </w:rPr>
              <w:t>Technická špecifikácia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260C" w:rsidRDefault="00D9260C" w:rsidP="00D9260C">
            <w:pPr>
              <w:pStyle w:val="Odsekzoznamu"/>
              <w:numPr>
                <w:ilvl w:val="0"/>
                <w:numId w:val="25"/>
              </w:numPr>
              <w:spacing w:after="0" w:line="259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Funkčnosť aplikácie </w:t>
            </w:r>
            <w:r w:rsidRPr="00240C9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aj pri nestabilných alebo chýbajúcich dátových pripojeniach (všetky dôleži</w:t>
            </w:r>
            <w:r w:rsidR="00E65C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té údaje sa automaticky ukladať</w:t>
            </w:r>
            <w:r w:rsidRPr="00240C9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a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synchroniz</w:t>
            </w:r>
            <w:r w:rsidR="00E65C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ovať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v trvalej pamäti)</w:t>
            </w:r>
          </w:p>
          <w:p w:rsidR="00911009" w:rsidRDefault="00E65C9D" w:rsidP="00911009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Umožniť u</w:t>
            </w:r>
            <w:r w:rsidR="00D9260C" w:rsidRPr="00D9260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kladanie navigačných máp, rastrových máp, bodov záujmu, dátového skladu, fotografií v</w:t>
            </w:r>
            <w:r w:rsidR="00911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D9260C" w:rsidRPr="00D9260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zariadení</w:t>
            </w:r>
          </w:p>
          <w:p w:rsidR="00D9260C" w:rsidRDefault="00911009" w:rsidP="00911009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240C9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Udalosti a kritické údaje synchronizova</w:t>
            </w:r>
            <w:r w:rsidR="00E65C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ť</w:t>
            </w:r>
            <w:r w:rsidRPr="00240C9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s</w:t>
            </w:r>
            <w:r w:rsidR="00CC416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240C9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prioritou</w:t>
            </w:r>
          </w:p>
          <w:p w:rsidR="00CC4168" w:rsidRPr="00911009" w:rsidRDefault="00E65C9D" w:rsidP="00E65C9D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Zabezpečiť t</w:t>
            </w:r>
            <w:r w:rsidR="00CC416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rval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ú</w:t>
            </w:r>
            <w:r w:rsidR="00CC416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dátová konektivita so systémom podpory</w:t>
            </w:r>
          </w:p>
        </w:tc>
      </w:tr>
      <w:tr w:rsidR="001D431F" w:rsidRPr="00BB1940" w:rsidTr="00CD6763">
        <w:trPr>
          <w:gridAfter w:val="1"/>
          <w:wAfter w:w="6" w:type="dxa"/>
          <w:trHeight w:val="840"/>
        </w:trPr>
        <w:tc>
          <w:tcPr>
            <w:tcW w:w="13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>
              <w:rPr>
                <w:rFonts w:ascii="Arial Narrow" w:hAnsi="Arial Narrow"/>
                <w:b/>
                <w:bCs/>
                <w:color w:val="1F4E79" w:themeColor="accent1" w:themeShade="80"/>
              </w:rPr>
              <w:t>Výjazdový lístok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Výjazdový lístok musí obsahovať:</w:t>
            </w:r>
          </w:p>
          <w:p w:rsidR="001D431F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</w:p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Popis udalosti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Typ udalosti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Adresa a miesto udalosti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</w:t>
            </w: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pis udalosti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Dátum a čas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vzniku </w:t>
            </w: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udalosti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Informácie o volajúcom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Nasadené </w:t>
            </w: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>sil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y</w:t>
            </w: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 prostriedk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y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Integrácia 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Street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view</w:t>
            </w:r>
            <w:proofErr w:type="spellEnd"/>
          </w:p>
        </w:tc>
      </w:tr>
      <w:tr w:rsidR="001D431F" w:rsidRPr="00BB1940" w:rsidTr="00CD6763">
        <w:trPr>
          <w:gridAfter w:val="1"/>
          <w:wAfter w:w="6" w:type="dxa"/>
          <w:trHeight w:val="270"/>
        </w:trPr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Oznámenia a zmeny: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Vizuálne a hlaso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vé upozornenie na novú udalosť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Vizuálne a hlasové upozornenie na aktualizácie udalostí (explicitné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vizuálne informácie o zmenách)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Automatický prepočet nav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igácie pri zmene polohy udalosti</w:t>
            </w:r>
          </w:p>
        </w:tc>
      </w:tr>
      <w:tr w:rsidR="001D431F" w:rsidRPr="00BB1940" w:rsidTr="00CD6763">
        <w:trPr>
          <w:gridAfter w:val="1"/>
          <w:wAfter w:w="6" w:type="dxa"/>
          <w:trHeight w:val="30"/>
        </w:trPr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Kódy typických činností 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Odoslanie statusov s ohľadom na čas a logickú postupnosť definovaných stavov (stavový automat)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Hlasové potvrdenie stavu doručenia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Podpora jedno- a dvojciferných stavov (1-99)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Podpora odpočítavania času do začiatku cesty na spl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nenie legislatívnej povinnosti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Možnosť skryť statusy</w:t>
            </w:r>
          </w:p>
        </w:tc>
      </w:tr>
      <w:tr w:rsidR="001D431F" w:rsidRPr="00BB1940" w:rsidTr="00CD6763">
        <w:trPr>
          <w:gridAfter w:val="1"/>
          <w:wAfter w:w="6" w:type="dxa"/>
          <w:trHeight w:val="240"/>
        </w:trPr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Správy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5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Možnosť odoslať správu k udalosti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5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Filtrovanie správ používateľom na konkrétny typ správy</w:t>
            </w:r>
          </w:p>
        </w:tc>
      </w:tr>
      <w:tr w:rsidR="001D431F" w:rsidRPr="00BB1940" w:rsidTr="00CD6763">
        <w:trPr>
          <w:gridAfter w:val="1"/>
          <w:wAfter w:w="6" w:type="dxa"/>
          <w:trHeight w:val="240"/>
        </w:trPr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Multimediálny obsah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Priradenie fotografie k udalosti, zdieľanie s ostatnými, fotogaléria pre udalosť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Priradenie videa k udalosti, zdieľanie s ostatnými, galéria videí pre udalosť</w:t>
            </w:r>
          </w:p>
          <w:p w:rsidR="001D431F" w:rsidRPr="001D431F" w:rsidRDefault="001D431F" w:rsidP="001D431F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Možnosť urobiť snímku obrazovky mapy a odoslať ju do konverzácie o udalosti</w:t>
            </w:r>
          </w:p>
        </w:tc>
      </w:tr>
      <w:tr w:rsidR="001D431F" w:rsidRPr="00BB1940" w:rsidTr="00CD6763">
        <w:trPr>
          <w:gridAfter w:val="1"/>
          <w:wAfter w:w="6" w:type="dxa"/>
          <w:trHeight w:val="240"/>
        </w:trPr>
        <w:tc>
          <w:tcPr>
            <w:tcW w:w="13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História udalostí 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7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Prístup k udalostiam aj po ich ukončení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7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Konfigurovateľný rozsah oprávnení (možnosť zakázať prístup k histórii alebo obmedziť typ zobrazovaných informácií)</w:t>
            </w:r>
          </w:p>
        </w:tc>
      </w:tr>
      <w:tr w:rsidR="001D431F" w:rsidRPr="00BB1940" w:rsidTr="001D431F">
        <w:trPr>
          <w:gridAfter w:val="1"/>
          <w:wAfter w:w="6" w:type="dxa"/>
          <w:trHeight w:val="300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C274AA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C274AA">
              <w:rPr>
                <w:rFonts w:ascii="Arial Narrow" w:hAnsi="Arial Narrow"/>
                <w:b/>
                <w:bCs/>
                <w:color w:val="1F497D"/>
              </w:rPr>
              <w:t>Mapové podklady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Základné požiadavky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:</w:t>
            </w:r>
          </w:p>
          <w:p w:rsidR="001D431F" w:rsidRPr="009F019A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Mapové podklady Slovenskej republiky (definované vrstvy GIS OS 112, </w:t>
            </w:r>
            <w:proofErr w:type="spellStart"/>
            <w:r w:rsidRPr="009F019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Ortophoto</w:t>
            </w:r>
            <w:proofErr w:type="spellEnd"/>
            <w:r w:rsidRPr="009F019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9F019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Topographic</w:t>
            </w:r>
            <w:proofErr w:type="spellEnd"/>
            <w:r w:rsidRPr="009F019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, OSM)</w:t>
            </w:r>
          </w:p>
          <w:p w:rsidR="001D431F" w:rsidRPr="009F019A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Možnosť </w:t>
            </w:r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 xml:space="preserve">importovať vlastné vrstvy </w:t>
            </w:r>
          </w:p>
          <w:p w:rsidR="001D431F" w:rsidRPr="009F019A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>Základné akcie na mape (pohyb, priblíženie, otáčanie a nakláňanie)</w:t>
            </w:r>
          </w:p>
          <w:p w:rsidR="001D431F" w:rsidRPr="009F019A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lastRenderedPageBreak/>
              <w:t xml:space="preserve">Zobrazenie navigačnej trasy na mape </w:t>
            </w:r>
          </w:p>
          <w:p w:rsidR="001D431F" w:rsidRPr="009F019A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>Zobrazenie aktuálnej polohy prostriedku</w:t>
            </w:r>
          </w:p>
          <w:p w:rsidR="001D431F" w:rsidRPr="009F019A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>Zobrazenie miesta udalosti (s typom)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Vizualizácia polohy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ostatných prostriedkov</w:t>
            </w: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v reálnom čase s aktuálnym stavom (t. j. stav volania, Na mieste, ...)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Možnosť zobrazenia informácií o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prostriedku</w:t>
            </w: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(názov, volací znak, typ)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Podpora rastrových a vektorových formátov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Možnosť sťahovania 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offline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máp do internej pamäte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31F" w:rsidRPr="00C274AA" w:rsidRDefault="001D431F" w:rsidP="001D431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Body záujmu (POI)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Kombinované zobrazenie bodov záujmu (t. j. hydrantov, uzáverov, DZP, ...)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POI je definovaný ikonou, polohou, štruktúrovaným popisom a multimediálnymi prílohami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Vrstva POI je definovaná a automaticky synchronizovaná centrálne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Mapa, ktorá umožňuje zobraziť na mape aspoň 100 000 záznamov o bodoch záujmu bez toho, aby sa znížila kvalita kontroly používateľa (zasekávanie)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31F" w:rsidRPr="00C274AA" w:rsidRDefault="001D431F" w:rsidP="001D431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Situačná mapa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Možnosť zobrazenia a kreslenia tvarov na mape (prstom alebo 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stylusom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) k udalosti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Kresba je definovaná svojim tvarom (bod, čiara, polygón, kruh), popisom, farbou, ikonou, možnosť priradenia multimédií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Automatická synchronizácia kresieb všetkým jednotkám v rámci danej udalosti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C274AA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1F497D"/>
              </w:rPr>
              <w:t>Navigá</w:t>
            </w:r>
            <w:r w:rsidRPr="00C274AA">
              <w:rPr>
                <w:rFonts w:ascii="Arial Narrow" w:hAnsi="Arial Narrow"/>
                <w:b/>
                <w:bCs/>
                <w:color w:val="1F497D"/>
              </w:rPr>
              <w:t>cia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Požiadavky</w:t>
            </w: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navigácie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: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Podpora rozdeleného zobrazenia pre navigáciu a mapu (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Split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view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) v navigačnom softvéri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Offline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mapové pokrytie celého územia Slovenska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Podpora tzv. 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Emergency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Vehicle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routing</w:t>
            </w:r>
            <w:proofErr w:type="spellEnd"/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(povoliť vozidlám so špeciálnym povolením vykonávať zakázané manév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re a vstúpiť na akúkoľvek cestu</w:t>
            </w: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C274AA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Navigácia na trase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Automatická navigácia na miesto zásahu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Možnosť náhľadu trasy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Hlasová navigácia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Výpočet odhadovaného času príchodu (ETA)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C274AA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BB1940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Konfigurácia navigácie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1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Parametre vozidla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1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Podpora núdzového smerovania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1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Možnosť ručného zadania cieľa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1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Vzdialené a automatické aktualizácie máp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C274AA" w:rsidRDefault="001D431F" w:rsidP="001D431F">
            <w:pPr>
              <w:spacing w:line="252" w:lineRule="auto"/>
              <w:rPr>
                <w:rFonts w:ascii="Arial Narrow" w:eastAsia="Calibri" w:hAnsi="Arial Narrow" w:cs="Times New Roman"/>
                <w:b/>
                <w:bCs/>
                <w:color w:val="1F497D"/>
              </w:rPr>
            </w:pPr>
            <w:r w:rsidRPr="00C274AA">
              <w:rPr>
                <w:rFonts w:ascii="Arial Narrow" w:eastAsia="Calibri" w:hAnsi="Arial Narrow" w:cs="Times New Roman"/>
                <w:b/>
                <w:bCs/>
                <w:color w:val="1F497D"/>
              </w:rPr>
              <w:t>Dátový sklad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4F5EEB" w:rsidRDefault="001D431F" w:rsidP="001D431F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4F5EE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Dokumentácia zdolávania požiaru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Triedenie do hierarchie podľa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parametrov/filtrov (</w:t>
            </w: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adres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a, </w:t>
            </w: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mesto - okres - ulica - číslo popisné - dokument)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Možnosť centrálneho ukladania vlastných dokumentov (napr. typové činnosti)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Možnosť inštalácie a spustenia ďalších aplikácií (prvá pomoc, slovníky, počasie, a iné...)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Možnosť záložiek pre webové stránky 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Možnosť vyhľadávania používateľov v dátovom sklade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C274AA" w:rsidRDefault="001D431F" w:rsidP="001D431F">
            <w:pPr>
              <w:spacing w:line="252" w:lineRule="auto"/>
              <w:rPr>
                <w:rFonts w:ascii="Arial Narrow" w:eastAsia="Calibri" w:hAnsi="Arial Narrow" w:cs="Times New Roman"/>
                <w:b/>
                <w:bCs/>
                <w:color w:val="1F497D"/>
              </w:rPr>
            </w:pPr>
            <w:r w:rsidRPr="00C274AA">
              <w:rPr>
                <w:rFonts w:ascii="Arial Narrow" w:eastAsia="Calibri" w:hAnsi="Arial Narrow" w:cs="Times New Roman"/>
                <w:b/>
                <w:bCs/>
                <w:color w:val="1F497D"/>
              </w:rPr>
              <w:t>Databáza chemických látok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BB1940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Musí obsahovať identifikačné a klasifikačné údaje o nebezpečných látk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ach</w:t>
            </w:r>
          </w:p>
          <w:p w:rsidR="001D431F" w:rsidRPr="009F019A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</w:pPr>
            <w:r w:rsidRPr="00BB194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Možnosť vyhľadávania podľa – UN kód, </w:t>
            </w:r>
            <w:proofErr w:type="spellStart"/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>Kemler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 xml:space="preserve"> kód,</w:t>
            </w:r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>HazChem</w:t>
            </w:r>
            <w:proofErr w:type="spellEnd"/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>kód</w:t>
            </w:r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 xml:space="preserve">, CAS, ADR, RID a pod. </w:t>
            </w:r>
          </w:p>
          <w:p w:rsidR="001D431F" w:rsidRPr="009F019A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="Times New Roman"/>
                <w:sz w:val="18"/>
                <w:szCs w:val="18"/>
                <w:lang w:eastAsia="cs-CZ"/>
              </w:rPr>
              <w:t>Musí obsahovať informácie o spôsobe likvidácie nebezpečnej látky v prípade nežiaducej udalosti (požiar, kontaminácia vodných zdrojov, a iné)</w:t>
            </w:r>
          </w:p>
          <w:p w:rsidR="001D431F" w:rsidRPr="00BB1940" w:rsidRDefault="001D431F" w:rsidP="001D431F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cs-CZ"/>
                <w14:ligatures w14:val="none"/>
              </w:rPr>
              <w:t>Musí obsahovať postupy a opatrenia v prípade prvej pomoci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C274AA" w:rsidRDefault="001D431F" w:rsidP="001D431F">
            <w:pPr>
              <w:spacing w:line="252" w:lineRule="auto"/>
              <w:rPr>
                <w:rFonts w:ascii="Arial Narrow" w:eastAsia="Calibri" w:hAnsi="Arial Narrow" w:cs="Times New Roman"/>
                <w:b/>
                <w:bCs/>
                <w:color w:val="1F497D"/>
              </w:rPr>
            </w:pPr>
            <w:r w:rsidRPr="00C274AA">
              <w:rPr>
                <w:rFonts w:ascii="Arial Narrow" w:eastAsia="Calibri" w:hAnsi="Arial Narrow" w:cs="Times New Roman"/>
                <w:b/>
                <w:bCs/>
                <w:color w:val="1F497D"/>
              </w:rPr>
              <w:t>Databáza záchranných kariet vozidiel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1F" w:rsidRPr="00BB1940" w:rsidRDefault="001D431F" w:rsidP="001D431F">
            <w:pPr>
              <w:pStyle w:val="cislovani"/>
              <w:numPr>
                <w:ilvl w:val="0"/>
                <w:numId w:val="13"/>
              </w:numPr>
              <w:ind w:left="353" w:hanging="348"/>
              <w:jc w:val="left"/>
              <w:rPr>
                <w:rFonts w:asciiTheme="majorHAnsi" w:hAnsiTheme="majorHAnsi"/>
                <w:color w:val="000000"/>
                <w:lang w:val="sk-SK"/>
              </w:rPr>
            </w:pPr>
            <w:r>
              <w:rPr>
                <w:rFonts w:asciiTheme="majorHAnsi" w:hAnsiTheme="majorHAnsi"/>
                <w:color w:val="000000"/>
                <w:lang w:val="sk-SK"/>
              </w:rPr>
              <w:t>Musí obsahovať</w:t>
            </w:r>
            <w:r w:rsidRPr="00BB1940">
              <w:rPr>
                <w:rFonts w:asciiTheme="majorHAnsi" w:hAnsiTheme="majorHAnsi"/>
                <w:color w:val="000000"/>
                <w:lang w:val="sk-SK"/>
              </w:rPr>
              <w:t xml:space="preserve"> záchranné karty vozidiel zobrazujúce špecifické informácie pre vykonanie zásahu pri nežiaducej udalosti (vyslobodzovanie osôb z vozidiel)</w:t>
            </w:r>
          </w:p>
          <w:p w:rsidR="001D431F" w:rsidRPr="00BB1940" w:rsidRDefault="001D431F" w:rsidP="001D431F">
            <w:pPr>
              <w:pStyle w:val="cislovani"/>
              <w:numPr>
                <w:ilvl w:val="0"/>
                <w:numId w:val="13"/>
              </w:numPr>
              <w:ind w:left="353" w:hanging="348"/>
              <w:jc w:val="left"/>
              <w:rPr>
                <w:rFonts w:asciiTheme="majorHAnsi" w:hAnsiTheme="majorHAnsi"/>
                <w:color w:val="000000"/>
                <w:lang w:val="sk-SK"/>
              </w:rPr>
            </w:pPr>
            <w:r w:rsidRPr="00BB1940">
              <w:rPr>
                <w:rFonts w:asciiTheme="majorHAnsi" w:hAnsiTheme="majorHAnsi"/>
                <w:color w:val="000000"/>
                <w:lang w:val="sk-SK"/>
              </w:rPr>
              <w:t>Musí obsahovať filtráciu podľa typu, značky, modelu, karosérie a roku výroby vozidla</w:t>
            </w:r>
          </w:p>
          <w:p w:rsidR="001D431F" w:rsidRPr="00BB1940" w:rsidRDefault="001D431F" w:rsidP="001D431F">
            <w:pPr>
              <w:pStyle w:val="cislovani"/>
              <w:numPr>
                <w:ilvl w:val="0"/>
                <w:numId w:val="13"/>
              </w:numPr>
              <w:ind w:left="353" w:hanging="348"/>
              <w:jc w:val="left"/>
              <w:rPr>
                <w:rFonts w:asciiTheme="majorHAnsi" w:hAnsiTheme="majorHAnsi"/>
                <w:color w:val="000000"/>
                <w:lang w:val="sk-SK"/>
              </w:rPr>
            </w:pPr>
            <w:r w:rsidRPr="00BB1940">
              <w:rPr>
                <w:rFonts w:asciiTheme="majorHAnsi" w:hAnsiTheme="majorHAnsi"/>
                <w:color w:val="000000"/>
                <w:lang w:val="sk-SK"/>
              </w:rPr>
              <w:t xml:space="preserve">V prípade udalosti – dopravná nehoda, </w:t>
            </w:r>
            <w:r>
              <w:rPr>
                <w:rFonts w:asciiTheme="majorHAnsi" w:hAnsiTheme="majorHAnsi"/>
                <w:color w:val="000000"/>
                <w:lang w:val="sk-SK"/>
              </w:rPr>
              <w:t xml:space="preserve">sa musí </w:t>
            </w:r>
            <w:r w:rsidRPr="00BB1940">
              <w:rPr>
                <w:rFonts w:asciiTheme="majorHAnsi" w:hAnsiTheme="majorHAnsi"/>
                <w:color w:val="000000"/>
                <w:lang w:val="sk-SK"/>
              </w:rPr>
              <w:t xml:space="preserve"> karta automatický</w:t>
            </w:r>
            <w:r>
              <w:rPr>
                <w:rFonts w:asciiTheme="majorHAnsi" w:hAnsiTheme="majorHAnsi"/>
                <w:color w:val="000000"/>
                <w:lang w:val="sk-SK"/>
              </w:rPr>
              <w:t xml:space="preserve"> zobraziť vo výjazdovom lístku</w:t>
            </w:r>
          </w:p>
          <w:p w:rsidR="001D431F" w:rsidRPr="00BB1940" w:rsidRDefault="001D431F" w:rsidP="001D431F">
            <w:pPr>
              <w:pStyle w:val="cislovani"/>
              <w:numPr>
                <w:ilvl w:val="0"/>
                <w:numId w:val="13"/>
              </w:numPr>
              <w:ind w:left="353" w:hanging="348"/>
              <w:jc w:val="left"/>
              <w:rPr>
                <w:rFonts w:asciiTheme="majorHAnsi" w:hAnsiTheme="majorHAnsi"/>
                <w:color w:val="000000"/>
                <w:lang w:val="sk-SK"/>
              </w:rPr>
            </w:pPr>
            <w:r w:rsidRPr="00BB1940">
              <w:rPr>
                <w:rFonts w:asciiTheme="majorHAnsi" w:hAnsiTheme="majorHAnsi"/>
                <w:color w:val="000000"/>
                <w:lang w:val="sk-SK"/>
              </w:rPr>
              <w:t xml:space="preserve">Databáza </w:t>
            </w:r>
            <w:r>
              <w:rPr>
                <w:rFonts w:asciiTheme="majorHAnsi" w:hAnsiTheme="majorHAnsi"/>
                <w:color w:val="000000"/>
                <w:lang w:val="sk-SK"/>
              </w:rPr>
              <w:t>musí obsahovať</w:t>
            </w:r>
            <w:r w:rsidRPr="00BB1940">
              <w:rPr>
                <w:rFonts w:asciiTheme="majorHAnsi" w:hAnsiTheme="majorHAnsi"/>
                <w:color w:val="000000"/>
                <w:lang w:val="sk-SK"/>
              </w:rPr>
              <w:t xml:space="preserve"> motorové vozidlá na spaľov</w:t>
            </w:r>
            <w:r>
              <w:rPr>
                <w:rFonts w:asciiTheme="majorHAnsi" w:hAnsiTheme="majorHAnsi"/>
                <w:color w:val="000000"/>
                <w:lang w:val="sk-SK"/>
              </w:rPr>
              <w:t>ací motor ako aj elektromobily</w:t>
            </w:r>
          </w:p>
          <w:p w:rsidR="001D431F" w:rsidRPr="009F019A" w:rsidRDefault="001D431F" w:rsidP="001D431F">
            <w:pPr>
              <w:pStyle w:val="cislovani"/>
              <w:numPr>
                <w:ilvl w:val="0"/>
                <w:numId w:val="0"/>
              </w:numPr>
              <w:ind w:left="289"/>
              <w:jc w:val="left"/>
              <w:rPr>
                <w:rFonts w:asciiTheme="majorHAnsi" w:hAnsiTheme="majorHAnsi"/>
                <w:strike/>
                <w:color w:val="000000"/>
                <w:lang w:val="sk-SK"/>
              </w:rPr>
            </w:pPr>
          </w:p>
        </w:tc>
      </w:tr>
      <w:tr w:rsidR="001D431F" w:rsidRPr="00BB1940" w:rsidTr="007A4D41">
        <w:trPr>
          <w:trHeight w:val="300"/>
        </w:trPr>
        <w:tc>
          <w:tcPr>
            <w:tcW w:w="10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BB1940" w:rsidRDefault="001D431F" w:rsidP="001D431F">
            <w:pPr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667D2F">
              <w:rPr>
                <w:rFonts w:ascii="Arial Narrow" w:hAnsi="Arial Narrow"/>
                <w:b/>
                <w:bCs/>
                <w:color w:val="00B050"/>
              </w:rPr>
              <w:t>SW pre centrálnu serverovú aplikáciu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BB1940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667D2F">
              <w:rPr>
                <w:rFonts w:ascii="Arial Narrow" w:hAnsi="Arial Narrow"/>
                <w:b/>
                <w:bCs/>
                <w:color w:val="1F4E79" w:themeColor="accent1" w:themeShade="80"/>
              </w:rPr>
              <w:t>Požiadavky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7A4D41" w:rsidRDefault="001D431F" w:rsidP="001D431F">
            <w:pPr>
              <w:spacing w:line="259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7A4D4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Systém musí umožniť:</w:t>
            </w:r>
          </w:p>
          <w:p w:rsidR="001D431F" w:rsidRPr="00A86519" w:rsidRDefault="001D431F" w:rsidP="001D431F">
            <w:pPr>
              <w:pStyle w:val="Odsekzoznamu"/>
              <w:numPr>
                <w:ilvl w:val="0"/>
                <w:numId w:val="31"/>
              </w:numPr>
              <w:spacing w:line="259" w:lineRule="auto"/>
              <w:ind w:left="495" w:hanging="284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</w:t>
            </w:r>
            <w:r w:rsidRPr="00A8651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rístup len identifikovaným používateľom podľa definovaných oprávnení</w:t>
            </w:r>
          </w:p>
          <w:p w:rsidR="001D431F" w:rsidRDefault="001D431F" w:rsidP="001D431F">
            <w:pPr>
              <w:pStyle w:val="Odsekzoznamu"/>
              <w:numPr>
                <w:ilvl w:val="0"/>
                <w:numId w:val="31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lastRenderedPageBreak/>
              <w:t>Vytvorenie a správu jednotlivých prístupových rolí s rôznymi úrovňami oprávnení na základe požiadaviek</w:t>
            </w:r>
          </w:p>
          <w:p w:rsidR="001D431F" w:rsidRDefault="00C66F30" w:rsidP="001D431F">
            <w:pPr>
              <w:pStyle w:val="Odsekzoznamu"/>
              <w:numPr>
                <w:ilvl w:val="0"/>
                <w:numId w:val="31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Možnosť k</w:t>
            </w:r>
            <w:r w:rsidR="001D431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onfiguráci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e</w:t>
            </w:r>
            <w:r w:rsidR="001D431F" w:rsidRPr="00487C7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navigačného softvéru</w:t>
            </w:r>
          </w:p>
          <w:p w:rsidR="00C66F30" w:rsidRDefault="001D431F" w:rsidP="00E92CD3">
            <w:pPr>
              <w:pStyle w:val="Odsekzoznamu"/>
              <w:numPr>
                <w:ilvl w:val="0"/>
                <w:numId w:val="31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C66F3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Evidenčný systém </w:t>
            </w:r>
          </w:p>
          <w:p w:rsidR="001D431F" w:rsidRPr="00C66F30" w:rsidRDefault="001D431F" w:rsidP="00E92CD3">
            <w:pPr>
              <w:pStyle w:val="Odsekzoznamu"/>
              <w:numPr>
                <w:ilvl w:val="0"/>
                <w:numId w:val="31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C66F3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Nástroje na údržbu</w:t>
            </w:r>
          </w:p>
          <w:p w:rsidR="001D431F" w:rsidRDefault="001D431F" w:rsidP="001D431F">
            <w:pPr>
              <w:pStyle w:val="Odsekzoznamu"/>
              <w:numPr>
                <w:ilvl w:val="0"/>
                <w:numId w:val="31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7A4D4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Podporu externých sledovacích zariadení </w:t>
            </w:r>
          </w:p>
          <w:p w:rsidR="001D431F" w:rsidRPr="007A4D41" w:rsidRDefault="001D431F" w:rsidP="001D431F">
            <w:pPr>
              <w:pStyle w:val="Odsekzoznamu"/>
              <w:spacing w:after="0" w:line="259" w:lineRule="auto"/>
              <w:ind w:left="495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</w:p>
          <w:p w:rsidR="001D431F" w:rsidRPr="00240C97" w:rsidRDefault="001D431F" w:rsidP="001D431F">
            <w:pPr>
              <w:pStyle w:val="Odsekzoznamu"/>
              <w:numPr>
                <w:ilvl w:val="0"/>
                <w:numId w:val="18"/>
              </w:numPr>
              <w:spacing w:after="0" w:line="259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K</w:t>
            </w:r>
            <w:r w:rsidRPr="00240C9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omunikácia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musí byť</w:t>
            </w:r>
            <w:r w:rsidRPr="00240C9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plne šifrovaná. Všetky údaje uložené v trvalej pamäti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musia byť zašifrované</w:t>
            </w:r>
          </w:p>
          <w:p w:rsidR="001D431F" w:rsidRPr="007A4D41" w:rsidRDefault="001D431F" w:rsidP="001D431F">
            <w:pPr>
              <w:pStyle w:val="Odsekzoznamu"/>
              <w:numPr>
                <w:ilvl w:val="0"/>
                <w:numId w:val="18"/>
              </w:numPr>
              <w:spacing w:after="0" w:line="259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87F0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Všetky použité technológie musia byť on premise, t. j. nainštalované na serveroch klienta bez potreby prístupu na internet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D431F" w:rsidRPr="00BB1940" w:rsidTr="007A4D41">
        <w:trPr>
          <w:gridAfter w:val="1"/>
          <w:wAfter w:w="6" w:type="dxa"/>
          <w:trHeight w:val="30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BB1940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1F497D"/>
              </w:rPr>
              <w:lastRenderedPageBreak/>
              <w:t>Integrácie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Pr="009F019A" w:rsidRDefault="001D431F" w:rsidP="001D431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F019A">
              <w:rPr>
                <w:rFonts w:asciiTheme="majorHAnsi" w:hAnsiTheme="majorHAnsi" w:cstheme="majorHAnsi"/>
                <w:sz w:val="18"/>
                <w:szCs w:val="18"/>
              </w:rPr>
              <w:t xml:space="preserve">Výjazdový tablet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musí</w:t>
            </w:r>
            <w:r w:rsidRPr="009F019A">
              <w:rPr>
                <w:rFonts w:asciiTheme="majorHAnsi" w:hAnsiTheme="majorHAnsi" w:cstheme="majorHAnsi"/>
                <w:sz w:val="18"/>
                <w:szCs w:val="18"/>
              </w:rPr>
              <w:t xml:space="preserve"> zahŕňať nasledovné integrácie na systém podpory:</w:t>
            </w:r>
          </w:p>
          <w:p w:rsidR="001D431F" w:rsidRPr="009F019A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Prijatie výjazdového lístku o udalosti</w:t>
            </w:r>
          </w:p>
          <w:p w:rsidR="001D431F" w:rsidRPr="00F83FB6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F83FB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Aktualizácia výjazdového lí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stku na základe zmeny udalosti</w:t>
            </w:r>
          </w:p>
          <w:p w:rsidR="001D431F" w:rsidRPr="00AB7DEC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AB7DE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Prijímanie  rozdelenia a vyslania síl a prostriedkov priradených na udalosť</w:t>
            </w:r>
          </w:p>
          <w:p w:rsidR="001D431F" w:rsidRPr="00AB7DEC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AB7DE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 xml:space="preserve">Odosielanie polôh síl a prostriedkov </w:t>
            </w:r>
          </w:p>
          <w:p w:rsidR="001D431F" w:rsidRPr="00AB7DEC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AB7DE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Prijímanie a zobrazovanie síl a prostriedkov v rámci tej istej udalosti</w:t>
            </w:r>
          </w:p>
          <w:p w:rsidR="001D431F" w:rsidRPr="00AB7DEC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AB7DE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Prijímanie a odosielanie textových správ</w:t>
            </w:r>
          </w:p>
          <w:p w:rsidR="001D431F" w:rsidRPr="00AB7DEC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AB7DE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Prijímanie a odosielanie typických kódov činností (stavov)</w:t>
            </w:r>
          </w:p>
          <w:p w:rsidR="001D431F" w:rsidRPr="00AB7DEC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AB7DE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Nahrávanie fotografií a videí z udalosti</w:t>
            </w:r>
          </w:p>
          <w:p w:rsidR="001D431F" w:rsidRPr="009F019A" w:rsidRDefault="001D431F" w:rsidP="001D431F">
            <w:pPr>
              <w:pStyle w:val="Odsekzoznamu"/>
              <w:numPr>
                <w:ilvl w:val="2"/>
                <w:numId w:val="24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strike/>
                <w:color w:val="000000"/>
                <w:sz w:val="18"/>
                <w:szCs w:val="18"/>
                <w:lang w:eastAsia="cs-CZ"/>
              </w:rPr>
            </w:pPr>
            <w:r w:rsidRPr="009F019A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Spárovanie tabletu s prostriedkom</w:t>
            </w:r>
          </w:p>
          <w:p w:rsidR="001D431F" w:rsidRPr="002C11EA" w:rsidRDefault="001D431F" w:rsidP="001D431F">
            <w:pPr>
              <w:pStyle w:val="Odsekzoznamu"/>
              <w:numPr>
                <w:ilvl w:val="0"/>
                <w:numId w:val="41"/>
              </w:numPr>
              <w:ind w:left="353" w:hanging="353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C11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Enroll</w:t>
            </w:r>
            <w:proofErr w:type="spellEnd"/>
            <w:r w:rsidRPr="002C11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 xml:space="preserve"> MDM</w:t>
            </w:r>
          </w:p>
          <w:p w:rsidR="001D431F" w:rsidRPr="00AB7DEC" w:rsidRDefault="001D431F" w:rsidP="001D431F">
            <w:pPr>
              <w:pStyle w:val="Odsekzoznamu"/>
              <w:numPr>
                <w:ilvl w:val="0"/>
                <w:numId w:val="22"/>
              </w:numPr>
              <w:spacing w:after="0" w:line="259" w:lineRule="auto"/>
              <w:ind w:left="495" w:hanging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AB7DE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 xml:space="preserve">Podpora inštalácie SW cez MDM Ministerstva vnútra Slovenskej Republiky. </w:t>
            </w:r>
          </w:p>
        </w:tc>
      </w:tr>
      <w:tr w:rsidR="001D431F" w:rsidRPr="00BB1940" w:rsidTr="007A4D41">
        <w:trPr>
          <w:gridAfter w:val="1"/>
          <w:wAfter w:w="6" w:type="dxa"/>
          <w:trHeight w:val="39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spacing w:line="252" w:lineRule="auto"/>
              <w:rPr>
                <w:rFonts w:ascii="Arial Narrow" w:hAnsi="Arial Narrow"/>
                <w:b/>
                <w:bCs/>
                <w:color w:val="1F497D"/>
              </w:rPr>
            </w:pPr>
            <w:r>
              <w:rPr>
                <w:rFonts w:ascii="Arial Narrow" w:hAnsi="Arial Narrow"/>
                <w:b/>
                <w:bCs/>
                <w:color w:val="1F497D"/>
              </w:rPr>
              <w:t>Ďalšie požiadavky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1F" w:rsidRDefault="001D431F" w:rsidP="001D431F">
            <w:pPr>
              <w:pStyle w:val="Odsekzoznamu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995B2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Súčasťou dodávky musí byť aj kompletná dokumentácia celého dodávaného riešenia</w:t>
            </w:r>
          </w:p>
          <w:p w:rsidR="001D431F" w:rsidRDefault="001D431F" w:rsidP="001D431F">
            <w:pPr>
              <w:pStyle w:val="Odsekzoznamu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Záruka 2 roky na HW </w:t>
            </w:r>
          </w:p>
          <w:p w:rsidR="001D431F" w:rsidRPr="00651241" w:rsidRDefault="001D431F" w:rsidP="001D431F">
            <w:pPr>
              <w:pStyle w:val="Odsekzoznamu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Zabezpečenie podpory, servisu a opráv SW a HW</w:t>
            </w:r>
          </w:p>
        </w:tc>
      </w:tr>
    </w:tbl>
    <w:p w:rsidR="003B2301" w:rsidRPr="00BB1940" w:rsidRDefault="00491F99"/>
    <w:sectPr w:rsidR="003B2301" w:rsidRPr="00BB1940" w:rsidSect="00BF2C4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8F0"/>
    <w:multiLevelType w:val="hybridMultilevel"/>
    <w:tmpl w:val="DE3A1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5292E"/>
    <w:multiLevelType w:val="hybridMultilevel"/>
    <w:tmpl w:val="2C6ED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A3A9F"/>
    <w:multiLevelType w:val="hybridMultilevel"/>
    <w:tmpl w:val="640A4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91BF0"/>
    <w:multiLevelType w:val="hybridMultilevel"/>
    <w:tmpl w:val="9D3A21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A00CB"/>
    <w:multiLevelType w:val="hybridMultilevel"/>
    <w:tmpl w:val="1780F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F1A"/>
    <w:multiLevelType w:val="hybridMultilevel"/>
    <w:tmpl w:val="8B2ECD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51269"/>
    <w:multiLevelType w:val="hybridMultilevel"/>
    <w:tmpl w:val="03484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61978"/>
    <w:multiLevelType w:val="hybridMultilevel"/>
    <w:tmpl w:val="64FCA2E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686203"/>
    <w:multiLevelType w:val="hybridMultilevel"/>
    <w:tmpl w:val="C05ABBF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7F1349"/>
    <w:multiLevelType w:val="hybridMultilevel"/>
    <w:tmpl w:val="75B4D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0F1BBF"/>
    <w:multiLevelType w:val="hybridMultilevel"/>
    <w:tmpl w:val="56DE1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F45AA"/>
    <w:multiLevelType w:val="hybridMultilevel"/>
    <w:tmpl w:val="1DE41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80936"/>
    <w:multiLevelType w:val="hybridMultilevel"/>
    <w:tmpl w:val="08284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51D4"/>
    <w:multiLevelType w:val="multilevel"/>
    <w:tmpl w:val="5344E4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4E3459"/>
    <w:multiLevelType w:val="hybridMultilevel"/>
    <w:tmpl w:val="AC48C5FA"/>
    <w:lvl w:ilvl="0" w:tplc="8D24062E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C82764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92DC9"/>
    <w:multiLevelType w:val="hybridMultilevel"/>
    <w:tmpl w:val="E2E27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67A73"/>
    <w:multiLevelType w:val="hybridMultilevel"/>
    <w:tmpl w:val="9B4E65E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3ECF"/>
    <w:multiLevelType w:val="hybridMultilevel"/>
    <w:tmpl w:val="B908E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203B1"/>
    <w:multiLevelType w:val="hybridMultilevel"/>
    <w:tmpl w:val="6CC65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1D5AE4"/>
    <w:multiLevelType w:val="hybridMultilevel"/>
    <w:tmpl w:val="52609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87F91"/>
    <w:multiLevelType w:val="hybridMultilevel"/>
    <w:tmpl w:val="CF16F43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3E3F37"/>
    <w:multiLevelType w:val="hybridMultilevel"/>
    <w:tmpl w:val="DAE66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E0300"/>
    <w:multiLevelType w:val="hybridMultilevel"/>
    <w:tmpl w:val="9D123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93F98"/>
    <w:multiLevelType w:val="hybridMultilevel"/>
    <w:tmpl w:val="E5A2FC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57BC0"/>
    <w:multiLevelType w:val="hybridMultilevel"/>
    <w:tmpl w:val="AF80308C"/>
    <w:lvl w:ilvl="0" w:tplc="041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571D4D12"/>
    <w:multiLevelType w:val="hybridMultilevel"/>
    <w:tmpl w:val="89B0B90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CB2075"/>
    <w:multiLevelType w:val="hybridMultilevel"/>
    <w:tmpl w:val="B9A43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794F54"/>
    <w:multiLevelType w:val="hybridMultilevel"/>
    <w:tmpl w:val="2214B118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3A358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B636C5"/>
    <w:multiLevelType w:val="hybridMultilevel"/>
    <w:tmpl w:val="B4A6B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0079AD"/>
    <w:multiLevelType w:val="hybridMultilevel"/>
    <w:tmpl w:val="66869F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3263C"/>
    <w:multiLevelType w:val="hybridMultilevel"/>
    <w:tmpl w:val="2F32D96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DB3CA3"/>
    <w:multiLevelType w:val="hybridMultilevel"/>
    <w:tmpl w:val="FFE0C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E52197"/>
    <w:multiLevelType w:val="hybridMultilevel"/>
    <w:tmpl w:val="C4E6277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7521C8"/>
    <w:multiLevelType w:val="hybridMultilevel"/>
    <w:tmpl w:val="3B189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BF5845"/>
    <w:multiLevelType w:val="hybridMultilevel"/>
    <w:tmpl w:val="4412F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872F2A"/>
    <w:multiLevelType w:val="hybridMultilevel"/>
    <w:tmpl w:val="4C48E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86123"/>
    <w:multiLevelType w:val="hybridMultilevel"/>
    <w:tmpl w:val="E3D04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640AC"/>
    <w:multiLevelType w:val="hybridMultilevel"/>
    <w:tmpl w:val="4C92DC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22346C"/>
    <w:multiLevelType w:val="hybridMultilevel"/>
    <w:tmpl w:val="D00AAD82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10"/>
  </w:num>
  <w:num w:numId="5">
    <w:abstractNumId w:val="6"/>
  </w:num>
  <w:num w:numId="6">
    <w:abstractNumId w:val="1"/>
  </w:num>
  <w:num w:numId="7">
    <w:abstractNumId w:val="35"/>
  </w:num>
  <w:num w:numId="8">
    <w:abstractNumId w:val="26"/>
  </w:num>
  <w:num w:numId="9">
    <w:abstractNumId w:val="0"/>
  </w:num>
  <w:num w:numId="10">
    <w:abstractNumId w:val="2"/>
  </w:num>
  <w:num w:numId="11">
    <w:abstractNumId w:val="32"/>
  </w:num>
  <w:num w:numId="12">
    <w:abstractNumId w:val="29"/>
  </w:num>
  <w:num w:numId="13">
    <w:abstractNumId w:val="21"/>
  </w:num>
  <w:num w:numId="14">
    <w:abstractNumId w:val="21"/>
  </w:num>
  <w:num w:numId="15">
    <w:abstractNumId w:val="30"/>
  </w:num>
  <w:num w:numId="16">
    <w:abstractNumId w:val="38"/>
  </w:num>
  <w:num w:numId="17">
    <w:abstractNumId w:val="0"/>
  </w:num>
  <w:num w:numId="18">
    <w:abstractNumId w:val="9"/>
  </w:num>
  <w:num w:numId="19">
    <w:abstractNumId w:val="11"/>
  </w:num>
  <w:num w:numId="20">
    <w:abstractNumId w:val="17"/>
  </w:num>
  <w:num w:numId="21">
    <w:abstractNumId w:val="22"/>
  </w:num>
  <w:num w:numId="22">
    <w:abstractNumId w:val="16"/>
  </w:num>
  <w:num w:numId="23">
    <w:abstractNumId w:val="28"/>
  </w:num>
  <w:num w:numId="24">
    <w:abstractNumId w:val="13"/>
  </w:num>
  <w:num w:numId="25">
    <w:abstractNumId w:val="34"/>
  </w:num>
  <w:num w:numId="26">
    <w:abstractNumId w:val="14"/>
  </w:num>
  <w:num w:numId="27">
    <w:abstractNumId w:val="14"/>
    <w:lvlOverride w:ilvl="0">
      <w:startOverride w:val="1"/>
    </w:lvlOverride>
  </w:num>
  <w:num w:numId="28">
    <w:abstractNumId w:val="1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19"/>
  </w:num>
  <w:num w:numId="34">
    <w:abstractNumId w:val="33"/>
  </w:num>
  <w:num w:numId="35">
    <w:abstractNumId w:val="8"/>
  </w:num>
  <w:num w:numId="36">
    <w:abstractNumId w:val="7"/>
  </w:num>
  <w:num w:numId="37">
    <w:abstractNumId w:val="25"/>
  </w:num>
  <w:num w:numId="38">
    <w:abstractNumId w:val="39"/>
  </w:num>
  <w:num w:numId="39">
    <w:abstractNumId w:val="27"/>
  </w:num>
  <w:num w:numId="40">
    <w:abstractNumId w:val="3"/>
  </w:num>
  <w:num w:numId="41">
    <w:abstractNumId w:val="36"/>
  </w:num>
  <w:num w:numId="42">
    <w:abstractNumId w:val="12"/>
  </w:num>
  <w:num w:numId="43">
    <w:abstractNumId w:val="4"/>
  </w:num>
  <w:num w:numId="44">
    <w:abstractNumId w:val="5"/>
  </w:num>
  <w:num w:numId="45">
    <w:abstractNumId w:val="37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0"/>
    <w:rsid w:val="00015F01"/>
    <w:rsid w:val="000C1037"/>
    <w:rsid w:val="00186E72"/>
    <w:rsid w:val="00187D6F"/>
    <w:rsid w:val="001D431F"/>
    <w:rsid w:val="0028300E"/>
    <w:rsid w:val="002B79AB"/>
    <w:rsid w:val="002C11EA"/>
    <w:rsid w:val="002D1DDD"/>
    <w:rsid w:val="00387F07"/>
    <w:rsid w:val="003B14B1"/>
    <w:rsid w:val="003D28EE"/>
    <w:rsid w:val="00445C28"/>
    <w:rsid w:val="00487C71"/>
    <w:rsid w:val="00491F99"/>
    <w:rsid w:val="004C5361"/>
    <w:rsid w:val="004F5EEB"/>
    <w:rsid w:val="00543A28"/>
    <w:rsid w:val="00633C07"/>
    <w:rsid w:val="00651241"/>
    <w:rsid w:val="00667D2F"/>
    <w:rsid w:val="00667F8D"/>
    <w:rsid w:val="006A1057"/>
    <w:rsid w:val="006F5383"/>
    <w:rsid w:val="0071318E"/>
    <w:rsid w:val="00723D31"/>
    <w:rsid w:val="00777D10"/>
    <w:rsid w:val="007A4D41"/>
    <w:rsid w:val="0088284F"/>
    <w:rsid w:val="008F4DD4"/>
    <w:rsid w:val="00911009"/>
    <w:rsid w:val="0092642E"/>
    <w:rsid w:val="009838C3"/>
    <w:rsid w:val="00995B22"/>
    <w:rsid w:val="009F019A"/>
    <w:rsid w:val="00A86519"/>
    <w:rsid w:val="00AA45F2"/>
    <w:rsid w:val="00AB7DEC"/>
    <w:rsid w:val="00B07014"/>
    <w:rsid w:val="00B21876"/>
    <w:rsid w:val="00B91213"/>
    <w:rsid w:val="00BB1940"/>
    <w:rsid w:val="00BF2C4D"/>
    <w:rsid w:val="00C274AA"/>
    <w:rsid w:val="00C66F30"/>
    <w:rsid w:val="00CB5AE7"/>
    <w:rsid w:val="00CC4168"/>
    <w:rsid w:val="00D900D9"/>
    <w:rsid w:val="00D9260C"/>
    <w:rsid w:val="00E001FE"/>
    <w:rsid w:val="00E45A07"/>
    <w:rsid w:val="00E542CC"/>
    <w:rsid w:val="00E65C9D"/>
    <w:rsid w:val="00F61553"/>
    <w:rsid w:val="00F83FB6"/>
    <w:rsid w:val="00F97E47"/>
    <w:rsid w:val="00FB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3FD08-705E-40D0-9085-5686D0D1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1940"/>
    <w:pPr>
      <w:spacing w:after="0" w:line="240" w:lineRule="auto"/>
    </w:pPr>
    <w:rPr>
      <w:rFonts w:ascii="Calibri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26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1940"/>
    <w:pPr>
      <w:spacing w:after="160" w:line="254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cislovaniChar">
    <w:name w:val="cislovani Char"/>
    <w:basedOn w:val="Predvolenpsmoodseku"/>
    <w:link w:val="cislovani"/>
    <w:locked/>
    <w:rsid w:val="00BB1940"/>
    <w:rPr>
      <w:sz w:val="18"/>
      <w:szCs w:val="18"/>
      <w:lang w:val="cs-CZ" w:eastAsia="cs-CZ"/>
    </w:rPr>
  </w:style>
  <w:style w:type="paragraph" w:customStyle="1" w:styleId="cislovani">
    <w:name w:val="cislovani"/>
    <w:link w:val="cislovaniChar"/>
    <w:qFormat/>
    <w:rsid w:val="00BB1940"/>
    <w:pPr>
      <w:numPr>
        <w:numId w:val="1"/>
      </w:numPr>
      <w:spacing w:after="0" w:line="240" w:lineRule="auto"/>
      <w:contextualSpacing/>
      <w:jc w:val="right"/>
    </w:pPr>
    <w:rPr>
      <w:sz w:val="18"/>
      <w:szCs w:val="18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64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642E"/>
    <w:rPr>
      <w:rFonts w:ascii="Segoe U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9260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1904-97AB-442C-B7BA-D9EFCB8B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adm_trokanova3009140</dc:creator>
  <cp:keywords/>
  <dc:description/>
  <cp:lastModifiedBy>adm_trokanova3009140</cp:lastModifiedBy>
  <cp:revision>2</cp:revision>
  <dcterms:created xsi:type="dcterms:W3CDTF">2024-06-12T09:02:00Z</dcterms:created>
  <dcterms:modified xsi:type="dcterms:W3CDTF">2024-06-12T09:02:00Z</dcterms:modified>
</cp:coreProperties>
</file>