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CEF1" w14:textId="77777777" w:rsidR="00BE248A" w:rsidRPr="004D55D7" w:rsidRDefault="00E22A14">
      <w:pPr>
        <w:pStyle w:val="Nzov"/>
        <w:rPr>
          <w:caps/>
          <w:sz w:val="32"/>
          <w:szCs w:val="22"/>
        </w:rPr>
      </w:pPr>
      <w:r w:rsidRPr="004D55D7">
        <w:rPr>
          <w:caps/>
          <w:sz w:val="32"/>
          <w:szCs w:val="22"/>
        </w:rPr>
        <w:t xml:space="preserve">Dohoda o ochrane dôverných informácií  </w:t>
      </w:r>
    </w:p>
    <w:p w14:paraId="39F4B603" w14:textId="77777777"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zákona č. 513/1991 Zb.</w:t>
      </w:r>
      <w:r w:rsidRPr="0039547C">
        <w:rPr>
          <w:b w:val="0"/>
          <w:bCs/>
          <w:sz w:val="20"/>
          <w:szCs w:val="22"/>
        </w:rPr>
        <w:t xml:space="preserve"> Obchodného zákonníka </w:t>
      </w:r>
      <w:r w:rsidR="00CF5890" w:rsidRPr="0039547C">
        <w:rPr>
          <w:b w:val="0"/>
          <w:bCs/>
          <w:sz w:val="20"/>
          <w:szCs w:val="22"/>
        </w:rPr>
        <w:t>v znení neskorších predpisov</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7B7069A9" w14:textId="77777777" w:rsidR="00BE248A" w:rsidRPr="0039547C" w:rsidRDefault="00CF5890">
      <w:pPr>
        <w:jc w:val="both"/>
        <w:rPr>
          <w:b/>
          <w:bCs/>
          <w:sz w:val="22"/>
          <w:szCs w:val="22"/>
        </w:rPr>
      </w:pPr>
      <w:r w:rsidRPr="0039547C">
        <w:rPr>
          <w:b/>
          <w:bCs/>
          <w:sz w:val="22"/>
          <w:szCs w:val="22"/>
        </w:rPr>
        <w:t>Štatistický úrad Slovenskej republiky</w:t>
      </w:r>
    </w:p>
    <w:p w14:paraId="22927707" w14:textId="77777777" w:rsidR="00BE248A" w:rsidRPr="0039547C" w:rsidRDefault="00E22A14">
      <w:pPr>
        <w:jc w:val="both"/>
        <w:rPr>
          <w:sz w:val="22"/>
          <w:szCs w:val="22"/>
        </w:rPr>
      </w:pPr>
      <w:r w:rsidRPr="0039547C">
        <w:rPr>
          <w:sz w:val="22"/>
          <w:szCs w:val="22"/>
        </w:rPr>
        <w:t xml:space="preserve">so sídlom </w:t>
      </w:r>
      <w:proofErr w:type="spellStart"/>
      <w:r w:rsidR="00CF5890" w:rsidRPr="0039547C">
        <w:rPr>
          <w:sz w:val="22"/>
          <w:szCs w:val="22"/>
        </w:rPr>
        <w:t>Miletičova</w:t>
      </w:r>
      <w:proofErr w:type="spellEnd"/>
      <w:r w:rsidR="00CF5890" w:rsidRPr="0039547C">
        <w:rPr>
          <w:sz w:val="22"/>
          <w:szCs w:val="22"/>
        </w:rPr>
        <w:t xml:space="preserve"> 3</w:t>
      </w:r>
      <w:r w:rsidR="005567B5" w:rsidRPr="0039547C">
        <w:rPr>
          <w:sz w:val="22"/>
          <w:szCs w:val="22"/>
        </w:rPr>
        <w:t xml:space="preserve">, </w:t>
      </w:r>
      <w:r w:rsidR="00CF5890" w:rsidRPr="0039547C">
        <w:rPr>
          <w:sz w:val="22"/>
          <w:szCs w:val="22"/>
        </w:rPr>
        <w:t>824 67</w:t>
      </w:r>
      <w:r w:rsidR="005567B5" w:rsidRPr="0039547C">
        <w:rPr>
          <w:sz w:val="22"/>
          <w:szCs w:val="22"/>
        </w:rPr>
        <w:t xml:space="preserve"> Bratislava, Slovenská republika</w:t>
      </w:r>
    </w:p>
    <w:p w14:paraId="67ECFA1E" w14:textId="77777777" w:rsidR="00BE248A" w:rsidRPr="0039547C" w:rsidRDefault="00E22A14">
      <w:pPr>
        <w:jc w:val="both"/>
        <w:rPr>
          <w:sz w:val="22"/>
          <w:szCs w:val="22"/>
        </w:rPr>
      </w:pPr>
      <w:r w:rsidRPr="0039547C">
        <w:rPr>
          <w:sz w:val="22"/>
          <w:szCs w:val="22"/>
        </w:rPr>
        <w:t xml:space="preserve">IČO: </w:t>
      </w:r>
      <w:r w:rsidR="00CF5890" w:rsidRPr="0039547C">
        <w:rPr>
          <w:sz w:val="22"/>
          <w:szCs w:val="22"/>
        </w:rPr>
        <w:t>00 166 197</w:t>
      </w:r>
      <w:r w:rsidRPr="0039547C">
        <w:rPr>
          <w:sz w:val="22"/>
          <w:szCs w:val="22"/>
        </w:rPr>
        <w:t xml:space="preserve"> </w:t>
      </w:r>
    </w:p>
    <w:p w14:paraId="0944420B" w14:textId="230E593A"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77777777" w:rsidR="005B74B2" w:rsidRPr="0039547C" w:rsidRDefault="00E22A14" w:rsidP="009659F3">
      <w:pPr>
        <w:jc w:val="both"/>
        <w:rPr>
          <w:color w:val="333333"/>
          <w:sz w:val="21"/>
          <w:szCs w:val="21"/>
        </w:rPr>
      </w:pPr>
      <w:r w:rsidRPr="0039547C">
        <w:rPr>
          <w:sz w:val="22"/>
          <w:szCs w:val="22"/>
        </w:rPr>
        <w:t xml:space="preserve"> </w:t>
      </w:r>
      <w:r w:rsidR="005B74B2" w:rsidRPr="0039547C">
        <w:rPr>
          <w:color w:val="333333"/>
          <w:sz w:val="21"/>
          <w:szCs w:val="21"/>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3AE19EA1" w14:textId="77777777"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77777777" w:rsidR="00BE248A" w:rsidRPr="0039547C" w:rsidRDefault="00E22A14">
      <w:pPr>
        <w:jc w:val="both"/>
        <w:rPr>
          <w:sz w:val="22"/>
          <w:szCs w:val="22"/>
        </w:rPr>
      </w:pPr>
      <w:r w:rsidRPr="0039547C">
        <w:rPr>
          <w:sz w:val="22"/>
          <w:szCs w:val="22"/>
        </w:rPr>
        <w:t>zapísaná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3D569FAB" w14:textId="77777777" w:rsidR="00BE248A" w:rsidRPr="0039547C" w:rsidRDefault="00E22A14">
      <w:pPr>
        <w:pStyle w:val="Zkladntext"/>
        <w:rPr>
          <w:sz w:val="22"/>
          <w:szCs w:val="22"/>
        </w:rPr>
      </w:pPr>
      <w:r w:rsidRPr="0039547C">
        <w:rPr>
          <w:sz w:val="22"/>
          <w:szCs w:val="22"/>
        </w:rPr>
        <w:t>Majúc na mysli význam dôvernosti niektorých informácií ako aj potrebu udržiavať tieto informácie dôvernými z dôvodu ich významu pre obe strany tejto dohody, a</w:t>
      </w:r>
    </w:p>
    <w:p w14:paraId="3F383697" w14:textId="77777777" w:rsidR="00BE248A" w:rsidRPr="0039547C" w:rsidRDefault="00BE248A">
      <w:pPr>
        <w:jc w:val="both"/>
        <w:rPr>
          <w:sz w:val="22"/>
          <w:szCs w:val="22"/>
        </w:rPr>
      </w:pPr>
    </w:p>
    <w:p w14:paraId="6A932608" w14:textId="77777777" w:rsidR="00BE248A" w:rsidRPr="0039547C" w:rsidRDefault="00E22A14">
      <w:pPr>
        <w:jc w:val="both"/>
        <w:rPr>
          <w:sz w:val="22"/>
          <w:szCs w:val="22"/>
        </w:rPr>
      </w:pPr>
      <w:r w:rsidRPr="0039547C">
        <w:rPr>
          <w:sz w:val="22"/>
          <w:szCs w:val="22"/>
        </w:rPr>
        <w:t xml:space="preserve">pre účely </w:t>
      </w:r>
      <w:r w:rsidR="006E5F4E" w:rsidRPr="0039547C">
        <w:rPr>
          <w:sz w:val="22"/>
          <w:szCs w:val="22"/>
        </w:rPr>
        <w:t>verejného obstarávania</w:t>
      </w:r>
      <w:r w:rsidRPr="0039547C">
        <w:rPr>
          <w:sz w:val="22"/>
          <w:szCs w:val="22"/>
        </w:rPr>
        <w:t xml:space="preserve"> 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77777777"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5F68B89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w:t>
      </w:r>
      <w:r w:rsidR="008E3FDB" w:rsidRPr="0039547C">
        <w:rPr>
          <w:sz w:val="22"/>
          <w:szCs w:val="22"/>
        </w:rPr>
        <w:t xml:space="preserve">zákona č. 513/1991 Zb. </w:t>
      </w:r>
      <w:r w:rsidR="00E22A14" w:rsidRPr="0039547C">
        <w:rPr>
          <w:sz w:val="22"/>
          <w:szCs w:val="22"/>
        </w:rPr>
        <w:t>Obchodného zákonníka</w:t>
      </w:r>
      <w:r w:rsidR="008E3FDB" w:rsidRPr="0039547C">
        <w:rPr>
          <w:sz w:val="22"/>
          <w:szCs w:val="22"/>
        </w:rPr>
        <w:t xml:space="preserve"> v znení neskorších predpisov</w:t>
      </w:r>
      <w:r w:rsidR="00E22A14" w:rsidRPr="0039547C">
        <w:rPr>
          <w:sz w:val="22"/>
          <w:szCs w:val="22"/>
        </w:rPr>
        <w:t xml:space="preserve">,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Pr="0039547C" w:rsidRDefault="003B7220">
      <w:pPr>
        <w:numPr>
          <w:ilvl w:val="0"/>
          <w:numId w:val="28"/>
        </w:numPr>
        <w:tabs>
          <w:tab w:val="clear" w:pos="720"/>
          <w:tab w:val="num" w:pos="426"/>
        </w:tabs>
        <w:ind w:left="426" w:hanging="426"/>
        <w:jc w:val="both"/>
        <w:rPr>
          <w:sz w:val="22"/>
          <w:szCs w:val="22"/>
        </w:rPr>
      </w:pPr>
      <w:r w:rsidRPr="0039547C">
        <w:rPr>
          <w:sz w:val="22"/>
          <w:szCs w:val="22"/>
        </w:rPr>
        <w:lastRenderedPageBreak/>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07D7FA72" w14:textId="77777777" w:rsidR="00BE248A" w:rsidRPr="0039547C" w:rsidRDefault="00BE248A">
      <w:pPr>
        <w:tabs>
          <w:tab w:val="num" w:pos="426"/>
        </w:tabs>
        <w:ind w:left="426" w:hanging="426"/>
        <w:jc w:val="both"/>
        <w:rPr>
          <w:sz w:val="22"/>
          <w:szCs w:val="22"/>
        </w:rPr>
      </w:pP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1E2A86A1" w:rsidR="00BE248A" w:rsidRPr="0039547C"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 tohto článku nižšie.</w:t>
      </w:r>
      <w:r w:rsidR="00E303CC">
        <w:rPr>
          <w:sz w:val="22"/>
          <w:szCs w:val="22"/>
        </w:rPr>
        <w:t xml:space="preserve"> V uvedenom predmete zákazky sa jedná hlavne o osobné údaje v zmysle zákona č. </w:t>
      </w:r>
      <w:r w:rsidR="00E303CC" w:rsidRPr="00E303CC">
        <w:rPr>
          <w:sz w:val="22"/>
          <w:szCs w:val="22"/>
        </w:rPr>
        <w:t>18/2018 Z. z.</w:t>
      </w:r>
      <w:r w:rsidR="00E303CC">
        <w:rPr>
          <w:sz w:val="22"/>
          <w:szCs w:val="22"/>
        </w:rPr>
        <w:t xml:space="preserve"> </w:t>
      </w:r>
      <w:r w:rsidR="00E303CC" w:rsidRPr="00E303CC">
        <w:rPr>
          <w:sz w:val="22"/>
          <w:szCs w:val="22"/>
        </w:rPr>
        <w:t>o ochrane</w:t>
      </w:r>
      <w:bookmarkStart w:id="0" w:name="_GoBack"/>
      <w:bookmarkEnd w:id="0"/>
      <w:r w:rsidR="00E303CC" w:rsidRPr="00E303CC">
        <w:rPr>
          <w:sz w:val="22"/>
          <w:szCs w:val="22"/>
        </w:rPr>
        <w:t xml:space="preserve"> osobných údajov a o zmene a doplnení niektorých zákonov</w:t>
      </w:r>
      <w:r w:rsidR="00E303CC">
        <w:rPr>
          <w:sz w:val="22"/>
          <w:szCs w:val="22"/>
        </w:rPr>
        <w:t>.</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p>
    <w:p w14:paraId="56DD407A" w14:textId="77777777" w:rsidR="00BE248A" w:rsidRPr="0039547C" w:rsidRDefault="00BE248A">
      <w:pPr>
        <w:jc w:val="both"/>
        <w:rPr>
          <w:sz w:val="22"/>
          <w:szCs w:val="22"/>
        </w:rPr>
      </w:pPr>
    </w:p>
    <w:p w14:paraId="00FF6F33" w14:textId="4483C3D1"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77777777"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3F2A474F"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w:t>
      </w:r>
      <w:r w:rsidR="00E22A14" w:rsidRPr="0039547C">
        <w:rPr>
          <w:sz w:val="22"/>
          <w:szCs w:val="22"/>
        </w:rPr>
        <w:lastRenderedPageBreak/>
        <w:t>informačných systémoch alebo iných systémoch či v akýchkoľvek hmotných alebo nehmotných podobách, ktoré majú charakter osobných údajov</w:t>
      </w:r>
      <w:r w:rsidRPr="0039547C">
        <w:rPr>
          <w:sz w:val="22"/>
          <w:szCs w:val="22"/>
        </w:rPr>
        <w:t xml:space="preserve">, </w:t>
      </w:r>
      <w:r w:rsidR="000A1A2E" w:rsidRPr="0039547C">
        <w:rPr>
          <w:sz w:val="22"/>
          <w:szCs w:val="22"/>
        </w:rPr>
        <w:t xml:space="preserve">ako aj </w:t>
      </w:r>
      <w:r w:rsidR="00E22A14" w:rsidRPr="0039547C">
        <w:rPr>
          <w:sz w:val="22"/>
          <w:szCs w:val="22"/>
        </w:rPr>
        <w:t>akýchkoľvek iných údajov alebo 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1" w:name="OLE_LINK1"/>
      <w:bookmarkStart w:id="2" w:name="OLE_LINK2"/>
      <w:r w:rsidR="00E22A14" w:rsidRPr="0039547C">
        <w:rPr>
          <w:sz w:val="22"/>
          <w:szCs w:val="22"/>
        </w:rPr>
        <w:t xml:space="preserve">osobitne chránených údajov </w:t>
      </w:r>
      <w:bookmarkEnd w:id="1"/>
      <w:bookmarkEnd w:id="2"/>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06346584"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 xml:space="preserve">3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16541046"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Každá zo strán môže poskytnúť dôverné informácie iba v nevyhnutnom rozsahu a  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v záujme oboch strán tejto dohody dodržiavať dôvernosť poskytnutých informácií za rovnakých podmienok, aké sú uvedené v tejto dohode a (ii)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ak je ich poskytnutie požadované na základe oprávneného a v súlade s</w:t>
      </w:r>
      <w:r w:rsidR="00D20E2F" w:rsidRPr="0039547C">
        <w:rPr>
          <w:sz w:val="22"/>
          <w:szCs w:val="22"/>
        </w:rPr>
        <w:t xml:space="preserve"> predpisom, </w:t>
      </w:r>
      <w:r w:rsidRPr="0039547C">
        <w:rPr>
          <w:sz w:val="22"/>
          <w:szCs w:val="22"/>
        </w:rPr>
        <w:t xml:space="preserve">zákonom vydaného príkazu príslušného orgánu verejnej správy, </w:t>
      </w:r>
    </w:p>
    <w:p w14:paraId="71DE9157" w14:textId="7821D57C"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428BEDEB"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77777777" w:rsidR="00BE248A" w:rsidRPr="0039547C" w:rsidRDefault="00E22A14">
      <w:pPr>
        <w:ind w:left="426" w:hanging="426"/>
        <w:jc w:val="both"/>
        <w:rPr>
          <w:sz w:val="22"/>
          <w:szCs w:val="22"/>
        </w:rPr>
      </w:pPr>
      <w:r w:rsidRPr="0039547C">
        <w:rPr>
          <w:sz w:val="22"/>
          <w:szCs w:val="22"/>
        </w:rPr>
        <w:lastRenderedPageBreak/>
        <w:t xml:space="preserve">        to všetko za podmienky, že prijímateľ včas a vopred oznámi takúto povinnosť poskytnúť dôverné informácie poskytovateľovi a bude spolupracovať s poskytovateľom na náklady poskytovateľa, na 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2EFBDB5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5469E3BD"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616948C8"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V prípade porušenia akejkoľvek povinnosti uvedenej v čl</w:t>
      </w:r>
      <w:r w:rsidR="007402EC" w:rsidRPr="0039547C">
        <w:rPr>
          <w:sz w:val="22"/>
          <w:szCs w:val="22"/>
        </w:rPr>
        <w:t>ánku</w:t>
      </w:r>
      <w:r w:rsidRPr="0039547C">
        <w:rPr>
          <w:sz w:val="22"/>
          <w:szCs w:val="22"/>
        </w:rPr>
        <w:t xml:space="preserve"> II bod 3, čl</w:t>
      </w:r>
      <w:r w:rsidR="007402EC" w:rsidRPr="0039547C">
        <w:rPr>
          <w:sz w:val="22"/>
          <w:szCs w:val="22"/>
        </w:rPr>
        <w:t>ánku</w:t>
      </w:r>
      <w:r w:rsidRPr="0039547C">
        <w:rPr>
          <w:sz w:val="22"/>
          <w:szCs w:val="22"/>
        </w:rPr>
        <w:t xml:space="preserve"> III a čl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D2329D" w:rsidRPr="0039547C">
        <w:rPr>
          <w:b/>
          <w:sz w:val="22"/>
          <w:szCs w:val="22"/>
          <w:highlight w:val="yellow"/>
        </w:rPr>
        <w:t>[•]</w:t>
      </w:r>
      <w:r w:rsidR="00D2329D"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D2329D" w:rsidRPr="0039547C">
        <w:rPr>
          <w:b/>
          <w:sz w:val="22"/>
          <w:szCs w:val="22"/>
          <w:highlight w:val="yellow"/>
        </w:rPr>
        <w:t>[•]</w:t>
      </w:r>
      <w:r w:rsidR="00D2329D"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doručenia hospodárskemu subjektu</w:t>
      </w:r>
      <w:r w:rsidRPr="0039547C">
        <w:rPr>
          <w:sz w:val="22"/>
          <w:szCs w:val="22"/>
        </w:rPr>
        <w:t xml:space="preserve">. </w:t>
      </w:r>
      <w:r w:rsidR="00865C7F" w:rsidRPr="0039547C">
        <w:rPr>
          <w:sz w:val="22"/>
          <w:szCs w:val="22"/>
        </w:rPr>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w:t>
      </w:r>
      <w:proofErr w:type="spellStart"/>
      <w:r w:rsidRPr="0039547C">
        <w:rPr>
          <w:sz w:val="22"/>
          <w:szCs w:val="22"/>
        </w:rPr>
        <w:t>t.j</w:t>
      </w:r>
      <w:proofErr w:type="spellEnd"/>
      <w:r w:rsidRPr="0039547C">
        <w:rPr>
          <w:sz w:val="22"/>
          <w:szCs w:val="22"/>
        </w:rPr>
        <w:t xml:space="preserve">.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náhradu škody v celom rozsahu spôsobenej porušením povinnosti, na ktorú sa zmluvná pokuta vzťahuje.</w:t>
      </w:r>
    </w:p>
    <w:p w14:paraId="51BA84BF" w14:textId="77777777" w:rsidR="00BE248A" w:rsidRPr="0039547C" w:rsidRDefault="00BE248A">
      <w:pPr>
        <w:ind w:left="426" w:hanging="66"/>
        <w:jc w:val="both"/>
        <w:rPr>
          <w:color w:val="FF0000"/>
          <w:sz w:val="22"/>
          <w:szCs w:val="22"/>
        </w:rPr>
      </w:pPr>
    </w:p>
    <w:p w14:paraId="7B836FFF" w14:textId="77777777" w:rsidR="00BE248A" w:rsidRPr="0039547C" w:rsidRDefault="00BE248A">
      <w:pPr>
        <w:jc w:val="center"/>
        <w:rPr>
          <w:b/>
          <w:sz w:val="22"/>
          <w:szCs w:val="22"/>
        </w:rPr>
      </w:pPr>
    </w:p>
    <w:p w14:paraId="7C6C76F4" w14:textId="53703394" w:rsidR="00BE248A" w:rsidRPr="0039547C" w:rsidRDefault="00E22A14">
      <w:pPr>
        <w:jc w:val="center"/>
        <w:rPr>
          <w:b/>
          <w:sz w:val="22"/>
          <w:szCs w:val="22"/>
        </w:rPr>
      </w:pPr>
      <w:r w:rsidRPr="0039547C">
        <w:rPr>
          <w:b/>
          <w:sz w:val="22"/>
          <w:szCs w:val="22"/>
        </w:rPr>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nasl.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pPr>
        <w:pStyle w:val="Zarkazkladnhotextu3"/>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pPr>
        <w:pStyle w:val="Zarkazkladnhotextu3"/>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5B5FABA6"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Ak sa strany písomne nedohodnú inak, zánik tejto dohody sa nedotýka povinností strán ďalej sa spravovať ustanovenia čl</w:t>
      </w:r>
      <w:r w:rsidR="007402EC" w:rsidRPr="0039547C">
        <w:rPr>
          <w:sz w:val="22"/>
          <w:szCs w:val="22"/>
        </w:rPr>
        <w:t>ánku</w:t>
      </w:r>
      <w:r w:rsidRPr="0039547C">
        <w:rPr>
          <w:sz w:val="22"/>
          <w:szCs w:val="22"/>
        </w:rPr>
        <w:t xml:space="preserve"> III a 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w:t>
      </w:r>
      <w:r w:rsidRPr="0039547C">
        <w:rPr>
          <w:sz w:val="22"/>
          <w:szCs w:val="22"/>
        </w:rPr>
        <w:lastRenderedPageBreak/>
        <w:t xml:space="preserve">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štyroch rovnopisoch, dva pre každú stranu.</w:t>
      </w:r>
    </w:p>
    <w:p w14:paraId="433D5544" w14:textId="77777777" w:rsidR="00BE248A" w:rsidRPr="0039547C" w:rsidRDefault="00BE248A">
      <w:pPr>
        <w:pStyle w:val="Zarkazkladnhotextu3"/>
        <w:tabs>
          <w:tab w:val="num" w:pos="284"/>
        </w:tabs>
        <w:ind w:left="284" w:hanging="284"/>
        <w:rPr>
          <w:sz w:val="22"/>
          <w:szCs w:val="22"/>
        </w:rPr>
      </w:pPr>
    </w:p>
    <w:p w14:paraId="22FCF582" w14:textId="68E8BC19"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nadobúda platnosť v deň jej podpisu stranami tejto dohody</w:t>
      </w:r>
      <w:r w:rsidR="00817458" w:rsidRPr="0039547C">
        <w:rPr>
          <w:sz w:val="22"/>
          <w:szCs w:val="22"/>
        </w:rPr>
        <w:t xml:space="preserve"> a účinnosť v deň nasledujúci po dni jej zverejnenia podľa § 47a ods. 1 zákona č. 40/1964 Zb. Občiansky zákonník v znení neskorších predpisov</w:t>
      </w:r>
      <w:r w:rsidRPr="0039547C">
        <w:rPr>
          <w:sz w:val="22"/>
          <w:szCs w:val="22"/>
        </w:rPr>
        <w:t xml:space="preserve">.  </w:t>
      </w:r>
    </w:p>
    <w:p w14:paraId="5D6353F7" w14:textId="77777777" w:rsidR="00BE248A" w:rsidRPr="0039547C" w:rsidRDefault="00BE248A">
      <w:pPr>
        <w:pStyle w:val="Zarkazkladnhotextu3"/>
        <w:ind w:left="426" w:hanging="66"/>
        <w:rPr>
          <w:sz w:val="22"/>
          <w:szCs w:val="22"/>
        </w:rPr>
      </w:pP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5DBEDBCE" w:rsidR="00BE248A" w:rsidRPr="0039547C" w:rsidRDefault="00E22A14">
            <w:pPr>
              <w:pStyle w:val="Zarkazkladnhotextu3"/>
              <w:ind w:left="0" w:firstLine="0"/>
              <w:rPr>
                <w:sz w:val="22"/>
                <w:szCs w:val="22"/>
              </w:rPr>
            </w:pPr>
            <w:r w:rsidRPr="0039547C">
              <w:rPr>
                <w:sz w:val="22"/>
                <w:szCs w:val="22"/>
              </w:rPr>
              <w:t>V</w:t>
            </w:r>
            <w:r w:rsidR="003B003F" w:rsidRPr="0039547C">
              <w:rPr>
                <w:sz w:val="22"/>
                <w:szCs w:val="22"/>
              </w:rPr>
              <w:t> </w:t>
            </w:r>
            <w:r w:rsidRPr="0039547C">
              <w:rPr>
                <w:sz w:val="22"/>
                <w:szCs w:val="22"/>
              </w:rPr>
              <w:t>Bratislave</w:t>
            </w:r>
            <w:r w:rsidR="003B003F" w:rsidRPr="0039547C">
              <w:rPr>
                <w:sz w:val="22"/>
                <w:szCs w:val="22"/>
              </w:rPr>
              <w:t>,</w:t>
            </w:r>
            <w:r w:rsidRPr="0039547C">
              <w:rPr>
                <w:sz w:val="22"/>
                <w:szCs w:val="22"/>
              </w:rPr>
              <w:t xml:space="preserve"> dňa</w:t>
            </w:r>
            <w:r w:rsidR="003B003F" w:rsidRPr="0039547C">
              <w:rPr>
                <w:sz w:val="22"/>
                <w:szCs w:val="22"/>
              </w:rPr>
              <w:t xml:space="preserve"> </w:t>
            </w:r>
            <w:r w:rsidR="003B003F" w:rsidRPr="0039547C">
              <w:rPr>
                <w:b/>
                <w:sz w:val="22"/>
                <w:szCs w:val="22"/>
                <w:highlight w:val="yellow"/>
              </w:rPr>
              <w:t>[•]</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65C2B612" w14:textId="7B9F060E" w:rsidR="00BE248A" w:rsidRPr="0039547C" w:rsidRDefault="003B003F">
            <w:pPr>
              <w:pStyle w:val="Zarkazkladnhotextu3"/>
              <w:ind w:left="0" w:firstLine="0"/>
              <w:rPr>
                <w:b/>
                <w:bCs/>
                <w:sz w:val="22"/>
                <w:szCs w:val="22"/>
              </w:rPr>
            </w:pPr>
            <w:r w:rsidRPr="0039547C">
              <w:rPr>
                <w:b/>
                <w:bCs/>
                <w:sz w:val="22"/>
                <w:szCs w:val="22"/>
              </w:rPr>
              <w:t>Štatistický úrad Slovenskej republiky</w:t>
            </w:r>
          </w:p>
          <w:p w14:paraId="79CFAD5F" w14:textId="730339B4" w:rsidR="00BE248A" w:rsidRPr="0039547C" w:rsidRDefault="00D92C90">
            <w:pPr>
              <w:rPr>
                <w:bCs/>
                <w:sz w:val="22"/>
                <w:szCs w:val="22"/>
              </w:rPr>
            </w:pPr>
            <w:r w:rsidRPr="0039547C">
              <w:rPr>
                <w:bCs/>
                <w:sz w:val="22"/>
                <w:szCs w:val="22"/>
              </w:rPr>
              <w:t xml:space="preserve">Ing. </w:t>
            </w:r>
            <w:r w:rsidR="003B003F" w:rsidRPr="0039547C">
              <w:rPr>
                <w:bCs/>
                <w:sz w:val="22"/>
                <w:szCs w:val="22"/>
              </w:rPr>
              <w:t xml:space="preserve">Alexander </w:t>
            </w:r>
            <w:proofErr w:type="spellStart"/>
            <w:r w:rsidR="003B003F" w:rsidRPr="0039547C">
              <w:rPr>
                <w:bCs/>
                <w:sz w:val="22"/>
                <w:szCs w:val="22"/>
              </w:rPr>
              <w:t>Ballek</w:t>
            </w:r>
            <w:proofErr w:type="spellEnd"/>
          </w:p>
          <w:p w14:paraId="2F3B17BD" w14:textId="293AD9C1" w:rsidR="00D92C90" w:rsidRPr="0039547C" w:rsidRDefault="003B003F">
            <w:pPr>
              <w:rPr>
                <w:sz w:val="22"/>
                <w:szCs w:val="22"/>
              </w:rPr>
            </w:pPr>
            <w:r w:rsidRPr="0039547C">
              <w:rPr>
                <w:sz w:val="22"/>
                <w:szCs w:val="22"/>
              </w:rPr>
              <w:t>predseda úradu</w:t>
            </w:r>
          </w:p>
          <w:p w14:paraId="090A7BD0" w14:textId="77777777" w:rsidR="00BE248A" w:rsidRPr="0039547C" w:rsidRDefault="00BE248A">
            <w:pPr>
              <w:pStyle w:val="Zarkazkladnhotextu3"/>
              <w:ind w:left="0" w:firstLine="0"/>
              <w:jc w:val="center"/>
              <w:rPr>
                <w:sz w:val="22"/>
                <w:szCs w:val="22"/>
              </w:rPr>
            </w:pP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42B5AE19" w:rsidR="00BE248A" w:rsidRPr="0039547C" w:rsidRDefault="00865C7F">
            <w:pPr>
              <w:pStyle w:val="Zarkazkladnhotextu3"/>
              <w:ind w:left="0" w:firstLine="0"/>
              <w:rPr>
                <w:b/>
                <w:bCs/>
                <w:sz w:val="22"/>
                <w:szCs w:val="22"/>
              </w:rPr>
            </w:pPr>
            <w:r w:rsidRPr="0039547C">
              <w:rPr>
                <w:b/>
                <w:sz w:val="22"/>
                <w:szCs w:val="22"/>
                <w:highlight w:val="yellow"/>
              </w:rPr>
              <w:t>[•]</w:t>
            </w:r>
            <w:r w:rsidR="00E22A14" w:rsidRPr="0039547C">
              <w:rPr>
                <w:sz w:val="22"/>
                <w:szCs w:val="22"/>
              </w:rPr>
              <w:t xml:space="preserve">     </w:t>
            </w:r>
            <w:r w:rsidR="00E22A14" w:rsidRPr="0039547C">
              <w:rPr>
                <w:b/>
                <w:sz w:val="22"/>
                <w:szCs w:val="22"/>
              </w:rPr>
              <w:t xml:space="preserve">  </w:t>
            </w:r>
          </w:p>
          <w:p w14:paraId="1505A29E" w14:textId="71CF9F71" w:rsidR="008279AA" w:rsidRPr="0039547C" w:rsidRDefault="00865C7F" w:rsidP="008279AA">
            <w:pPr>
              <w:rPr>
                <w:b/>
                <w:sz w:val="22"/>
                <w:szCs w:val="22"/>
              </w:rPr>
            </w:pPr>
            <w:r w:rsidRPr="0039547C">
              <w:rPr>
                <w:b/>
                <w:sz w:val="22"/>
                <w:szCs w:val="22"/>
                <w:highlight w:val="yellow"/>
              </w:rPr>
              <w:t>[•]</w:t>
            </w:r>
            <w:r w:rsidR="00E22A14" w:rsidRPr="0039547C">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682C7834" w14:textId="77777777" w:rsidR="00BE248A" w:rsidRPr="0039547C" w:rsidRDefault="00E22A14">
            <w:pPr>
              <w:pStyle w:val="Zarkazkladnhotextu3"/>
              <w:tabs>
                <w:tab w:val="left" w:pos="559"/>
              </w:tabs>
              <w:ind w:left="0" w:firstLine="0"/>
              <w:rPr>
                <w:sz w:val="22"/>
                <w:szCs w:val="22"/>
              </w:rPr>
            </w:pPr>
            <w:r w:rsidRPr="0039547C">
              <w:rPr>
                <w:sz w:val="22"/>
                <w:szCs w:val="22"/>
              </w:rPr>
              <w:t xml:space="preserve">       </w:t>
            </w:r>
          </w:p>
          <w:p w14:paraId="0D0C645F" w14:textId="77777777" w:rsidR="00BE248A" w:rsidRPr="0039547C" w:rsidRDefault="00BE248A">
            <w:pPr>
              <w:pStyle w:val="Zarkazkladnhotextu3"/>
              <w:ind w:left="0" w:firstLine="0"/>
              <w:rPr>
                <w:sz w:val="22"/>
                <w:szCs w:val="22"/>
              </w:rPr>
            </w:pPr>
          </w:p>
          <w:p w14:paraId="734C1ADB" w14:textId="67B82592" w:rsidR="00D07C08" w:rsidRPr="0039547C" w:rsidRDefault="003B003F">
            <w:pPr>
              <w:pStyle w:val="Zarkazkladnhotextu3"/>
              <w:ind w:left="0" w:firstLine="0"/>
              <w:rPr>
                <w:sz w:val="22"/>
                <w:szCs w:val="22"/>
              </w:rPr>
            </w:pPr>
            <w:r w:rsidRPr="0039547C">
              <w:rPr>
                <w:sz w:val="22"/>
                <w:szCs w:val="22"/>
              </w:rPr>
              <w:t>___________________________</w:t>
            </w:r>
            <w:r w:rsidR="00E22A14" w:rsidRPr="0039547C">
              <w:rPr>
                <w:sz w:val="22"/>
                <w:szCs w:val="22"/>
              </w:rPr>
              <w:t xml:space="preserve">              </w:t>
            </w:r>
            <w:r w:rsidR="008322AF" w:rsidRPr="0039547C">
              <w:rPr>
                <w:sz w:val="22"/>
                <w:szCs w:val="22"/>
              </w:rPr>
              <w:t xml:space="preserve"> </w:t>
            </w:r>
          </w:p>
          <w:p w14:paraId="49AF3E84" w14:textId="2BD7395D" w:rsidR="00BE248A" w:rsidRPr="0039547C" w:rsidRDefault="00865C7F" w:rsidP="00865C7F">
            <w:pPr>
              <w:pStyle w:val="Zarkazkladnhotextu3"/>
              <w:ind w:left="0" w:firstLine="0"/>
              <w:rPr>
                <w:sz w:val="22"/>
                <w:szCs w:val="22"/>
              </w:rPr>
            </w:pPr>
            <w:r w:rsidRPr="0039547C">
              <w:rPr>
                <w:b/>
                <w:sz w:val="22"/>
                <w:szCs w:val="22"/>
                <w:highlight w:val="yellow"/>
              </w:rPr>
              <w:t>[•]</w:t>
            </w:r>
          </w:p>
          <w:p w14:paraId="62FE2AA3" w14:textId="7AC05EC7" w:rsidR="00BE248A" w:rsidRPr="0039547C" w:rsidRDefault="00865C7F" w:rsidP="00865C7F">
            <w:pPr>
              <w:pStyle w:val="Zarkazkladnhotextu3"/>
              <w:ind w:left="0" w:firstLine="0"/>
              <w:rPr>
                <w:sz w:val="22"/>
                <w:szCs w:val="22"/>
              </w:rPr>
            </w:pPr>
            <w:r w:rsidRPr="0039547C">
              <w:rPr>
                <w:b/>
                <w:sz w:val="22"/>
                <w:szCs w:val="22"/>
                <w:highlight w:val="yellow"/>
              </w:rPr>
              <w:t>[•]</w:t>
            </w:r>
          </w:p>
          <w:p w14:paraId="4BB6A381" w14:textId="4100E8C3" w:rsidR="00BE248A" w:rsidRPr="0039547C" w:rsidRDefault="00865C7F">
            <w:pPr>
              <w:pStyle w:val="Zarkazkladnhotextu3"/>
              <w:ind w:left="0" w:firstLine="0"/>
              <w:rPr>
                <w:sz w:val="22"/>
                <w:szCs w:val="22"/>
              </w:rPr>
            </w:pPr>
            <w:r w:rsidRPr="0039547C">
              <w:rPr>
                <w:b/>
                <w:sz w:val="22"/>
                <w:szCs w:val="22"/>
                <w:highlight w:val="yellow"/>
              </w:rPr>
              <w:t>[•]</w:t>
            </w:r>
          </w:p>
          <w:p w14:paraId="38AB621B" w14:textId="77777777" w:rsidR="00BE248A" w:rsidRPr="0039547C" w:rsidRDefault="00E22A14">
            <w:pPr>
              <w:pStyle w:val="Zarkazkladnhotextu3"/>
              <w:ind w:left="0" w:firstLine="0"/>
              <w:rPr>
                <w:sz w:val="22"/>
                <w:szCs w:val="22"/>
              </w:rPr>
            </w:pPr>
            <w:r w:rsidRPr="0039547C">
              <w:rPr>
                <w:sz w:val="22"/>
                <w:szCs w:val="22"/>
              </w:rPr>
              <w:t xml:space="preserve">           </w:t>
            </w:r>
          </w:p>
          <w:p w14:paraId="21DF8246" w14:textId="77777777" w:rsidR="00BE248A" w:rsidRPr="0039547C" w:rsidRDefault="00BE248A">
            <w:pPr>
              <w:pStyle w:val="Zarkazkladnhotextu3"/>
              <w:ind w:left="0" w:firstLine="0"/>
              <w:jc w:val="center"/>
              <w:rPr>
                <w:sz w:val="22"/>
                <w:szCs w:val="22"/>
              </w:rPr>
            </w:pP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29D50F48" w14:textId="77777777" w:rsidR="00BE248A" w:rsidRPr="0039547C" w:rsidRDefault="00BE248A">
      <w:pPr>
        <w:pStyle w:val="Zarkazkladnhotextu3"/>
        <w:ind w:left="0" w:firstLine="0"/>
        <w:rPr>
          <w:sz w:val="22"/>
          <w:szCs w:val="22"/>
        </w:rPr>
      </w:pPr>
    </w:p>
    <w:p w14:paraId="6DB80EE7" w14:textId="77777777" w:rsidR="00BE248A" w:rsidRPr="0039547C" w:rsidRDefault="00BE248A">
      <w:pPr>
        <w:pStyle w:val="Zarkazkladnhotextu3"/>
        <w:ind w:left="0" w:firstLine="0"/>
        <w:rPr>
          <w:sz w:val="22"/>
          <w:szCs w:val="22"/>
        </w:rPr>
      </w:pPr>
    </w:p>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FFB6" w14:textId="77777777" w:rsidR="00542895" w:rsidRDefault="00542895">
      <w:r>
        <w:separator/>
      </w:r>
    </w:p>
  </w:endnote>
  <w:endnote w:type="continuationSeparator" w:id="0">
    <w:p w14:paraId="1CB47FFB" w14:textId="77777777" w:rsidR="00542895" w:rsidRDefault="005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0CF6"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392789">
      <w:rPr>
        <w:rStyle w:val="slostrany"/>
        <w:noProof/>
      </w:rPr>
      <w:t>1</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753F" w14:textId="77777777" w:rsidR="00542895" w:rsidRDefault="00542895">
      <w:r>
        <w:separator/>
      </w:r>
    </w:p>
  </w:footnote>
  <w:footnote w:type="continuationSeparator" w:id="0">
    <w:p w14:paraId="299B48D1" w14:textId="77777777" w:rsidR="00542895" w:rsidRDefault="00542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1"/>
    <w:rsid w:val="00047E98"/>
    <w:rsid w:val="0007302F"/>
    <w:rsid w:val="0009313D"/>
    <w:rsid w:val="000A1A2E"/>
    <w:rsid w:val="000C3742"/>
    <w:rsid w:val="000E26E8"/>
    <w:rsid w:val="000E67DA"/>
    <w:rsid w:val="00104E37"/>
    <w:rsid w:val="00130CB6"/>
    <w:rsid w:val="00137A0E"/>
    <w:rsid w:val="001715E5"/>
    <w:rsid w:val="00172632"/>
    <w:rsid w:val="0017658D"/>
    <w:rsid w:val="0019427A"/>
    <w:rsid w:val="001967DD"/>
    <w:rsid w:val="001C09A4"/>
    <w:rsid w:val="001E4A87"/>
    <w:rsid w:val="002168F3"/>
    <w:rsid w:val="002406A4"/>
    <w:rsid w:val="0024253E"/>
    <w:rsid w:val="002647C7"/>
    <w:rsid w:val="00270F2C"/>
    <w:rsid w:val="00271BFB"/>
    <w:rsid w:val="002741B9"/>
    <w:rsid w:val="0027690C"/>
    <w:rsid w:val="0028327A"/>
    <w:rsid w:val="002B0634"/>
    <w:rsid w:val="002C2CA8"/>
    <w:rsid w:val="002E4833"/>
    <w:rsid w:val="00344ABF"/>
    <w:rsid w:val="003620C7"/>
    <w:rsid w:val="00364D87"/>
    <w:rsid w:val="00370254"/>
    <w:rsid w:val="00373E45"/>
    <w:rsid w:val="00392789"/>
    <w:rsid w:val="0039547C"/>
    <w:rsid w:val="00397212"/>
    <w:rsid w:val="003B003F"/>
    <w:rsid w:val="003B3A5B"/>
    <w:rsid w:val="003B7220"/>
    <w:rsid w:val="003C41A9"/>
    <w:rsid w:val="003E4A29"/>
    <w:rsid w:val="004114AB"/>
    <w:rsid w:val="00492760"/>
    <w:rsid w:val="004A5267"/>
    <w:rsid w:val="004B3B29"/>
    <w:rsid w:val="004B78FB"/>
    <w:rsid w:val="004D51BC"/>
    <w:rsid w:val="004D55D7"/>
    <w:rsid w:val="004E7801"/>
    <w:rsid w:val="004F4C70"/>
    <w:rsid w:val="0051560F"/>
    <w:rsid w:val="00542895"/>
    <w:rsid w:val="00544E69"/>
    <w:rsid w:val="005567B5"/>
    <w:rsid w:val="005631ED"/>
    <w:rsid w:val="0058456A"/>
    <w:rsid w:val="005916CF"/>
    <w:rsid w:val="005B72C1"/>
    <w:rsid w:val="005B74B2"/>
    <w:rsid w:val="00612048"/>
    <w:rsid w:val="00615864"/>
    <w:rsid w:val="006268F2"/>
    <w:rsid w:val="00666275"/>
    <w:rsid w:val="0067141C"/>
    <w:rsid w:val="00671B2C"/>
    <w:rsid w:val="006957ED"/>
    <w:rsid w:val="006976FE"/>
    <w:rsid w:val="006E176A"/>
    <w:rsid w:val="006E5F4E"/>
    <w:rsid w:val="006E624B"/>
    <w:rsid w:val="00714464"/>
    <w:rsid w:val="00721C90"/>
    <w:rsid w:val="00731A51"/>
    <w:rsid w:val="007402EC"/>
    <w:rsid w:val="0074753A"/>
    <w:rsid w:val="00771CB1"/>
    <w:rsid w:val="00790CE8"/>
    <w:rsid w:val="007D5D92"/>
    <w:rsid w:val="007E0923"/>
    <w:rsid w:val="007E7DA3"/>
    <w:rsid w:val="008131CF"/>
    <w:rsid w:val="00817458"/>
    <w:rsid w:val="00823AA6"/>
    <w:rsid w:val="008279AA"/>
    <w:rsid w:val="008322AF"/>
    <w:rsid w:val="008623CC"/>
    <w:rsid w:val="00865C7F"/>
    <w:rsid w:val="00880269"/>
    <w:rsid w:val="008815F6"/>
    <w:rsid w:val="0088445F"/>
    <w:rsid w:val="008B450A"/>
    <w:rsid w:val="008E30F3"/>
    <w:rsid w:val="008E3FDB"/>
    <w:rsid w:val="0090359F"/>
    <w:rsid w:val="009410F7"/>
    <w:rsid w:val="00946052"/>
    <w:rsid w:val="009659F3"/>
    <w:rsid w:val="009A4CFA"/>
    <w:rsid w:val="009A6D46"/>
    <w:rsid w:val="009A77D7"/>
    <w:rsid w:val="009C4218"/>
    <w:rsid w:val="009D02D7"/>
    <w:rsid w:val="009D405C"/>
    <w:rsid w:val="009F66D4"/>
    <w:rsid w:val="00A02977"/>
    <w:rsid w:val="00A042CE"/>
    <w:rsid w:val="00A156FF"/>
    <w:rsid w:val="00A66CA0"/>
    <w:rsid w:val="00A91B1A"/>
    <w:rsid w:val="00A93C0E"/>
    <w:rsid w:val="00AB1250"/>
    <w:rsid w:val="00AB68C7"/>
    <w:rsid w:val="00AD27C2"/>
    <w:rsid w:val="00AE0508"/>
    <w:rsid w:val="00AF763F"/>
    <w:rsid w:val="00B013E7"/>
    <w:rsid w:val="00B12351"/>
    <w:rsid w:val="00B176FA"/>
    <w:rsid w:val="00B21293"/>
    <w:rsid w:val="00B51462"/>
    <w:rsid w:val="00B636F4"/>
    <w:rsid w:val="00B84C5D"/>
    <w:rsid w:val="00BA1A18"/>
    <w:rsid w:val="00BA7AC7"/>
    <w:rsid w:val="00BD6904"/>
    <w:rsid w:val="00BE248A"/>
    <w:rsid w:val="00BE3F89"/>
    <w:rsid w:val="00C13C38"/>
    <w:rsid w:val="00C14EB9"/>
    <w:rsid w:val="00C35BD5"/>
    <w:rsid w:val="00C501D6"/>
    <w:rsid w:val="00C87A7D"/>
    <w:rsid w:val="00CA2C6B"/>
    <w:rsid w:val="00CC3FBD"/>
    <w:rsid w:val="00CD5DF9"/>
    <w:rsid w:val="00CE56F9"/>
    <w:rsid w:val="00CE6EAB"/>
    <w:rsid w:val="00CF5890"/>
    <w:rsid w:val="00D07C08"/>
    <w:rsid w:val="00D20E2F"/>
    <w:rsid w:val="00D2329D"/>
    <w:rsid w:val="00D33D96"/>
    <w:rsid w:val="00D6711B"/>
    <w:rsid w:val="00D76216"/>
    <w:rsid w:val="00D92446"/>
    <w:rsid w:val="00D92C90"/>
    <w:rsid w:val="00DB24E6"/>
    <w:rsid w:val="00DB5338"/>
    <w:rsid w:val="00DF29B8"/>
    <w:rsid w:val="00DF668C"/>
    <w:rsid w:val="00DF7D8F"/>
    <w:rsid w:val="00E22A14"/>
    <w:rsid w:val="00E303CC"/>
    <w:rsid w:val="00E330F2"/>
    <w:rsid w:val="00E71F81"/>
    <w:rsid w:val="00E850DA"/>
    <w:rsid w:val="00ED1A33"/>
    <w:rsid w:val="00EE0C33"/>
    <w:rsid w:val="00F00A6F"/>
    <w:rsid w:val="00F0774A"/>
    <w:rsid w:val="00F11429"/>
    <w:rsid w:val="00F23B3B"/>
    <w:rsid w:val="00F47C30"/>
    <w:rsid w:val="00F75888"/>
    <w:rsid w:val="00F90469"/>
    <w:rsid w:val="00FA21F9"/>
    <w:rsid w:val="00FB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4D98"/>
  <w15:docId w15:val="{6D21B17D-F42B-E345-8E37-2055A4A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10c__x00ed_slo xmlns="ce52737a-d55b-4645-b23c-6d2c2a5609f5" xsi:nil="true"/>
    <_x00da__x010d_innos_x0165__x0020_od xmlns="ce52737a-d55b-4645-b23c-6d2c2a5609f5" xsi:nil="true"/>
    <_x0160_pecifik_x00e1_cia xmlns="ce52737a-d55b-4645-b23c-6d2c2a5609f5" xsi:nil="true"/>
    <Verzia_x0020_dokumentu xmlns="ce52737a-d55b-4645-b23c-6d2c2a5609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5" ma:contentTypeDescription="Umožňuje vytvoriť nový dokument." ma:contentTypeScope="" ma:versionID="817ec7a25e5035a97c315450ccde989a">
  <xsd:schema xmlns:xsd="http://www.w3.org/2001/XMLSchema" xmlns:xs="http://www.w3.org/2001/XMLSchema" xmlns:p="http://schemas.microsoft.com/office/2006/metadata/properties" xmlns:ns2="ce52737a-d55b-4645-b23c-6d2c2a5609f5" targetNamespace="http://schemas.microsoft.com/office/2006/metadata/properties" ma:root="true" ma:fieldsID="d9c2e9b5e943f581e277136f69d76deb"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_x0160_pecifik_x00e1_cia" minOccurs="0"/>
                <xsd:element ref="ns2:Verzia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ma:internalName="_x010c__x00ed_slo">
      <xsd:simpleType>
        <xsd:restriction base="dms:Text">
          <xsd:maxLength value="255"/>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_x0160_pecifik_x00e1_cia" ma:index="10" nillable="true" ma:displayName="Špecifikácia" ma:internalName="_x0160_pecifik_x00e1_cia">
      <xsd:simpleType>
        <xsd:restriction base="dms:Text">
          <xsd:maxLength value="255"/>
        </xsd:restriction>
      </xsd:simpleType>
    </xsd:element>
    <xsd:element name="Verzia_x0020_dokumentu" ma:index="11" nillable="true" ma:displayName="Verzia dokumentu" ma:internalName="Verzia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B8AF4-25A6-4D4C-8812-A4339F952632}">
  <ds:schemaRefs>
    <ds:schemaRef ds:uri="http://schemas.microsoft.com/sharepoint/v3/contenttype/forms"/>
  </ds:schemaRefs>
</ds:datastoreItem>
</file>

<file path=customXml/itemProps2.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customXml/itemProps3.xml><?xml version="1.0" encoding="utf-8"?>
<ds:datastoreItem xmlns:ds="http://schemas.openxmlformats.org/officeDocument/2006/customXml" ds:itemID="{E0735330-6448-4F66-8C96-DCDB6D5D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15624</Characters>
  <Application>Microsoft Office Word</Application>
  <DocSecurity>0</DocSecurity>
  <Lines>130</Lines>
  <Paragraphs>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Typová zmluva - Procurement</vt:lpstr>
      <vt:lpstr>Typová zmluva - Procurement</vt:lpstr>
      <vt:lpstr>Dohoda o dôvernosti údajov</vt:lpstr>
    </vt:vector>
  </TitlesOfParts>
  <Company>T-Mobile Slovensko, a.s.</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Typová zmluva - Procurement</dc:title>
  <dc:creator>T-Mobile Slovensko, a.s.</dc:creator>
  <cp:lastModifiedBy>rado.eu95@gmail.com</cp:lastModifiedBy>
  <cp:revision>2</cp:revision>
  <cp:lastPrinted>2019-07-24T07:51:00Z</cp:lastPrinted>
  <dcterms:created xsi:type="dcterms:W3CDTF">2019-11-14T14:26:00Z</dcterms:created>
  <dcterms:modified xsi:type="dcterms:W3CDTF">2019-11-14T14:26:00Z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ies>
</file>