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r w:rsidR="007C7C4C" w:rsidRPr="0095273D">
        <w:rPr>
          <w:rFonts w:ascii="Arial" w:hAnsi="Arial" w:cs="Arial"/>
          <w:b/>
          <w:color w:val="auto"/>
        </w:rPr>
        <w:t>polprofil</w:t>
      </w:r>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bookmarkEnd w:id="1"/>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724CF2C5"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0D0A533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0277BA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5BFE6F2"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2" w:name="_Hlk166742161"/>
      <w:r w:rsidR="00353176" w:rsidRPr="00353176">
        <w:rPr>
          <w:rFonts w:ascii="Arial" w:hAnsi="Arial" w:cs="Arial"/>
          <w:sz w:val="20"/>
          <w:szCs w:val="20"/>
        </w:rPr>
        <w:t>SPSRSKBA</w:t>
      </w:r>
      <w:bookmarkEnd w:id="2"/>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3"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3"/>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298856DA"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r w:rsidR="007C7C4C" w:rsidRPr="0095273D">
        <w:rPr>
          <w:rFonts w:ascii="Arial" w:hAnsi="Arial" w:cs="Arial"/>
          <w:b/>
          <w:sz w:val="20"/>
          <w:szCs w:val="20"/>
        </w:rPr>
        <w:t>polprofil</w:t>
      </w:r>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4"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lastRenderedPageBreak/>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4"/>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polprofil“</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58B3BD79"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odo dňa nadobudnutia účinnosti </w:t>
      </w:r>
      <w:r w:rsidR="00353176">
        <w:rPr>
          <w:rFonts w:ascii="Arial" w:hAnsi="Arial" w:cs="Arial"/>
          <w:sz w:val="20"/>
          <w:szCs w:val="20"/>
        </w:rPr>
        <w:t>Z</w:t>
      </w:r>
      <w:r w:rsidRPr="0095273D">
        <w:rPr>
          <w:rFonts w:ascii="Arial" w:hAnsi="Arial" w:cs="Arial"/>
          <w:sz w:val="20"/>
          <w:szCs w:val="20"/>
        </w:rPr>
        <w:t>mluvy.</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B93103" w:rsidRPr="0095273D">
        <w:rPr>
          <w:rFonts w:ascii="Arial" w:hAnsi="Arial" w:cs="Arial"/>
          <w:sz w:val="20"/>
          <w:szCs w:val="20"/>
        </w:rPr>
        <w:t xml:space="preserve">Lehota na oznámenie vád je 365 dní. </w:t>
      </w:r>
    </w:p>
    <w:p w14:paraId="436060D5" w14:textId="3B68A737"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B93103" w:rsidRPr="0095273D">
        <w:rPr>
          <w:rFonts w:ascii="Arial" w:hAnsi="Arial" w:cs="Arial"/>
          <w:sz w:val="20"/>
          <w:szCs w:val="20"/>
        </w:rPr>
        <w:t xml:space="preserve">Záručná doba na predmet zákazky začína plynúť dňom odovzdania predmetu zákazky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p>
    <w:p w14:paraId="636FA571" w14:textId="60A3F8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839E5">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p w14:paraId="0D72E76D" w14:textId="0C25077C" w:rsidR="001C385F" w:rsidRDefault="001C385F" w:rsidP="0095273D">
      <w:pPr>
        <w:spacing w:after="0" w:line="240" w:lineRule="auto"/>
        <w:ind w:left="1134"/>
        <w:contextualSpacing/>
        <w:jc w:val="both"/>
        <w:rPr>
          <w:rFonts w:ascii="Arial" w:hAnsi="Arial" w:cs="Arial"/>
          <w:sz w:val="20"/>
          <w:szCs w:val="20"/>
        </w:rPr>
      </w:pPr>
    </w:p>
    <w:p w14:paraId="039CCD15" w14:textId="3174587A" w:rsidR="001C385F" w:rsidRDefault="001C385F" w:rsidP="0095273D">
      <w:pPr>
        <w:spacing w:after="0" w:line="240" w:lineRule="auto"/>
        <w:ind w:left="1134"/>
        <w:contextualSpacing/>
        <w:jc w:val="both"/>
        <w:rPr>
          <w:rFonts w:ascii="Arial" w:hAnsi="Arial" w:cs="Arial"/>
          <w:sz w:val="20"/>
          <w:szCs w:val="20"/>
        </w:rPr>
      </w:pPr>
    </w:p>
    <w:p w14:paraId="5772FC7D" w14:textId="714D1BC7" w:rsidR="001C385F" w:rsidRDefault="001C385F" w:rsidP="0095273D">
      <w:pPr>
        <w:spacing w:after="0" w:line="240" w:lineRule="auto"/>
        <w:ind w:left="1134"/>
        <w:contextualSpacing/>
        <w:jc w:val="both"/>
        <w:rPr>
          <w:rFonts w:ascii="Arial" w:hAnsi="Arial" w:cs="Arial"/>
          <w:sz w:val="20"/>
          <w:szCs w:val="20"/>
        </w:rPr>
      </w:pPr>
    </w:p>
    <w:p w14:paraId="362F8F5D" w14:textId="77777777" w:rsidR="001C385F" w:rsidRDefault="001C385F" w:rsidP="0095273D">
      <w:pPr>
        <w:spacing w:after="0" w:line="240" w:lineRule="auto"/>
        <w:ind w:left="1134"/>
        <w:contextualSpacing/>
        <w:jc w:val="both"/>
        <w:rPr>
          <w:rFonts w:ascii="Arial" w:hAnsi="Arial" w:cs="Arial"/>
          <w:sz w:val="20"/>
          <w:szCs w:val="20"/>
        </w:rPr>
      </w:pPr>
    </w:p>
    <w:p w14:paraId="00F7CA64" w14:textId="77777777" w:rsidR="00B151D8" w:rsidRDefault="00B151D8" w:rsidP="0095273D">
      <w:pPr>
        <w:spacing w:after="0" w:line="240" w:lineRule="auto"/>
        <w:ind w:left="1134"/>
        <w:contextualSpacing/>
        <w:jc w:val="both"/>
        <w:rPr>
          <w:rFonts w:ascii="Arial" w:hAnsi="Arial" w:cs="Arial"/>
          <w:sz w:val="20"/>
          <w:szCs w:val="20"/>
        </w:rPr>
      </w:pPr>
    </w:p>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xml:space="preserve">, najneskôr však šesť dní pred uplynutím  lehoty na </w:t>
            </w:r>
            <w:r w:rsidRPr="0095273D">
              <w:rPr>
                <w:rFonts w:ascii="Arial" w:hAnsi="Arial" w:cs="Arial"/>
                <w:sz w:val="20"/>
                <w:szCs w:val="20"/>
              </w:rPr>
              <w:lastRenderedPageBreak/>
              <w:t>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lastRenderedPageBreak/>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CCAF769" w:rsidR="00D03FDC" w:rsidRPr="0095273D"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77777777" w:rsidR="00794DE5" w:rsidRPr="0095273D" w:rsidRDefault="00794DE5" w:rsidP="0095273D">
      <w:pPr>
        <w:spacing w:after="0" w:line="240" w:lineRule="auto"/>
        <w:ind w:left="1134"/>
        <w:contextualSpacing/>
        <w:jc w:val="both"/>
        <w:rPr>
          <w:rFonts w:ascii="Arial" w:hAnsi="Arial" w:cs="Arial"/>
          <w:color w:val="FF0000"/>
          <w:sz w:val="20"/>
          <w:szCs w:val="20"/>
        </w:rPr>
      </w:pPr>
      <w:r w:rsidRPr="0095273D">
        <w:rPr>
          <w:rFonts w:ascii="Arial" w:hAnsi="Arial" w:cs="Arial"/>
          <w:sz w:val="20"/>
          <w:szCs w:val="20"/>
        </w:rPr>
        <w:t xml:space="preserve">verejných zákaziek. JOSEPHINE je webová aplikácia na doméne </w:t>
      </w:r>
      <w:hyperlink r:id="rId13"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70D7D5CF" w14:textId="233248BB" w:rsidR="00DB67AF"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5B1D0260" w14:textId="77777777" w:rsidR="00DB67AF" w:rsidRPr="0095273D"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4"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2682A6BF" w14:textId="51D1F87A" w:rsidR="00131049"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17.1</w:t>
      </w:r>
      <w:r w:rsidRPr="0095273D">
        <w:rPr>
          <w:rFonts w:ascii="Arial" w:hAnsi="Arial" w:cs="Arial"/>
          <w:sz w:val="20"/>
          <w:szCs w:val="20"/>
        </w:rPr>
        <w:tab/>
      </w:r>
      <w:r w:rsidR="00131049" w:rsidRPr="0095273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D43BD2F" w14:textId="02F111EB" w:rsidR="003452EE" w:rsidRDefault="003452EE" w:rsidP="0095273D">
      <w:pPr>
        <w:spacing w:after="0" w:line="240" w:lineRule="auto"/>
        <w:ind w:left="1134" w:hanging="567"/>
        <w:contextualSpacing/>
        <w:jc w:val="both"/>
        <w:rPr>
          <w:rFonts w:ascii="Arial" w:hAnsi="Arial" w:cs="Arial"/>
          <w:sz w:val="20"/>
          <w:szCs w:val="20"/>
        </w:rPr>
      </w:pPr>
    </w:p>
    <w:p w14:paraId="75490D34" w14:textId="0E8C83E0" w:rsidR="00DB67AF" w:rsidRDefault="00DB67AF" w:rsidP="0095273D">
      <w:pPr>
        <w:spacing w:after="0" w:line="240" w:lineRule="auto"/>
        <w:ind w:left="1134" w:hanging="567"/>
        <w:contextualSpacing/>
        <w:jc w:val="both"/>
        <w:rPr>
          <w:rFonts w:ascii="Arial" w:hAnsi="Arial" w:cs="Arial"/>
          <w:sz w:val="20"/>
          <w:szCs w:val="20"/>
        </w:rPr>
      </w:pPr>
    </w:p>
    <w:p w14:paraId="3FABD5DB" w14:textId="77777777" w:rsidR="00DB67AF" w:rsidRPr="0095273D" w:rsidRDefault="00DB67AF" w:rsidP="0095273D">
      <w:pPr>
        <w:spacing w:after="0" w:line="240" w:lineRule="auto"/>
        <w:ind w:left="1134" w:hanging="567"/>
        <w:contextualSpacing/>
        <w:jc w:val="both"/>
        <w:rPr>
          <w:rFonts w:ascii="Arial" w:hAnsi="Arial" w:cs="Arial"/>
          <w:sz w:val="20"/>
          <w:szCs w:val="20"/>
        </w:rPr>
      </w:pPr>
    </w:p>
    <w:p w14:paraId="728FBCFC" w14:textId="77777777" w:rsidR="00B151D8" w:rsidRDefault="00B151D8" w:rsidP="0095273D">
      <w:pPr>
        <w:spacing w:after="0" w:line="240" w:lineRule="auto"/>
        <w:ind w:left="1134" w:hanging="1134"/>
        <w:contextualSpacing/>
        <w:jc w:val="center"/>
        <w:rPr>
          <w:rFonts w:ascii="Arial" w:hAnsi="Arial" w:cs="Arial"/>
          <w:b/>
          <w:sz w:val="20"/>
          <w:szCs w:val="20"/>
        </w:rPr>
      </w:pPr>
    </w:p>
    <w:p w14:paraId="56B7F296" w14:textId="77777777" w:rsidR="00B151D8" w:rsidRDefault="00B151D8"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31DF200A" w14:textId="77777777" w:rsidR="0095273D" w:rsidRPr="0095273D" w:rsidRDefault="0095273D"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77777777"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r w:rsidR="009C0DAA" w:rsidRPr="00DB67AF">
        <w:rPr>
          <w:rFonts w:ascii="Arial" w:hAnsi="Arial" w:cs="Arial"/>
          <w:sz w:val="20"/>
          <w:szCs w:val="20"/>
        </w:rPr>
        <w:t xml:space="preserve">V prípade, ak je uchádzačom skupina dodávateľov, vyplní a predloží tento formulár každý jej člen. </w:t>
      </w:r>
    </w:p>
    <w:p w14:paraId="086EE78F" w14:textId="77777777" w:rsidR="009C0DAA" w:rsidRPr="00DB67AF"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1079CD15"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5"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 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p w14:paraId="5E3EEFE2" w14:textId="08088DD3"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B3582E3" w14:textId="705344F0"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588A133" w14:textId="18E682DF"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5E375D5B" w14:textId="0BCAFB3A"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051486BD" w14:textId="77777777" w:rsidR="00DB67AF" w:rsidRPr="0095273D"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bookmarkEnd w:id="5"/>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08B905CA" w:rsidR="00BD4A61" w:rsidRP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56A8F9B8"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630FDAD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15654CA1" w:rsidR="00C21A95" w:rsidRP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6"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6"/>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7"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7"/>
    </w:p>
    <w:p w14:paraId="4155182F" w14:textId="77777777"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8"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8"/>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0B8DD535" w14:textId="3458E374"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511AAB09" w14:textId="77777777" w:rsidR="00191199" w:rsidRDefault="00191199" w:rsidP="0095273D">
      <w:pPr>
        <w:tabs>
          <w:tab w:val="left" w:pos="1985"/>
        </w:tabs>
        <w:spacing w:after="0" w:line="240" w:lineRule="auto"/>
        <w:ind w:left="1985" w:hanging="851"/>
        <w:contextualSpacing/>
        <w:jc w:val="both"/>
        <w:rPr>
          <w:rFonts w:ascii="Arial" w:hAnsi="Arial" w:cs="Arial"/>
          <w:sz w:val="20"/>
          <w:szCs w:val="20"/>
        </w:rPr>
      </w:pPr>
    </w:p>
    <w:p w14:paraId="37EAEE18" w14:textId="4ABCE749"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4C01A9D2" w14:textId="76DCB002"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0441D98D" w14:textId="77777777"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21524C1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77777777" w:rsidR="008C791B" w:rsidRPr="0095273D"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2FAEA671" w14:textId="2E1BC9AF" w:rsidR="008C791B" w:rsidRPr="0095273D" w:rsidRDefault="00425B0A" w:rsidP="0095273D">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77777777" w:rsidR="008C791B" w:rsidRPr="0095273D"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6"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7"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9" w:name="_Hlk161748611"/>
      <w:r w:rsidR="008C791B" w:rsidRPr="0095273D">
        <w:rPr>
          <w:rFonts w:ascii="Arial" w:eastAsia="Times New Roman" w:hAnsi="Arial" w:cs="Arial"/>
          <w:sz w:val="20"/>
          <w:szCs w:val="20"/>
        </w:rPr>
        <w:t>ako skeny originálov alebo úradne osvedčených  fotokópií týchto dokumentov.</w:t>
      </w:r>
      <w:bookmarkEnd w:id="9"/>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049D17EA" w14:textId="19AB245B" w:rsidR="00DB67AF" w:rsidRDefault="00DB67AF" w:rsidP="0095273D">
      <w:pPr>
        <w:spacing w:after="0" w:line="240" w:lineRule="auto"/>
        <w:ind w:left="1134" w:hanging="567"/>
        <w:contextualSpacing/>
        <w:jc w:val="both"/>
        <w:rPr>
          <w:rFonts w:ascii="Arial" w:hAnsi="Arial" w:cs="Arial"/>
          <w:sz w:val="20"/>
          <w:szCs w:val="20"/>
        </w:rPr>
      </w:pPr>
    </w:p>
    <w:p w14:paraId="559E8150" w14:textId="3CD3B420" w:rsidR="00DB67AF" w:rsidRDefault="00DB67AF" w:rsidP="0095273D">
      <w:pPr>
        <w:spacing w:after="0" w:line="240" w:lineRule="auto"/>
        <w:ind w:left="1134" w:hanging="567"/>
        <w:contextualSpacing/>
        <w:jc w:val="both"/>
        <w:rPr>
          <w:rFonts w:ascii="Arial" w:hAnsi="Arial" w:cs="Arial"/>
          <w:sz w:val="20"/>
          <w:szCs w:val="20"/>
        </w:rPr>
      </w:pPr>
    </w:p>
    <w:p w14:paraId="20B21634" w14:textId="6B0A95EA" w:rsidR="00DB67AF" w:rsidRDefault="00DB67AF" w:rsidP="0095273D">
      <w:pPr>
        <w:spacing w:after="0" w:line="240" w:lineRule="auto"/>
        <w:ind w:left="1134" w:hanging="567"/>
        <w:contextualSpacing/>
        <w:jc w:val="both"/>
        <w:rPr>
          <w:rFonts w:ascii="Arial" w:hAnsi="Arial" w:cs="Arial"/>
          <w:sz w:val="20"/>
          <w:szCs w:val="20"/>
        </w:rPr>
      </w:pPr>
    </w:p>
    <w:p w14:paraId="102627B9" w14:textId="77777777" w:rsidR="00DB67AF" w:rsidRDefault="00DB67AF" w:rsidP="0095273D">
      <w:pPr>
        <w:spacing w:after="0" w:line="240" w:lineRule="auto"/>
        <w:ind w:left="1134" w:hanging="567"/>
        <w:contextualSpacing/>
        <w:jc w:val="both"/>
        <w:rPr>
          <w:rFonts w:ascii="Arial" w:hAnsi="Arial" w:cs="Arial"/>
          <w:sz w:val="20"/>
          <w:szCs w:val="20"/>
        </w:rPr>
      </w:pP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6F9D099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77777777" w:rsidR="00794DE5" w:rsidRPr="0095273D"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r w:rsidR="007C7C4C" w:rsidRPr="0095273D">
        <w:rPr>
          <w:rFonts w:ascii="Arial" w:hAnsi="Arial" w:cs="Arial"/>
          <w:b/>
          <w:sz w:val="20"/>
          <w:szCs w:val="20"/>
        </w:rPr>
        <w:t>polprofil</w:t>
      </w:r>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7793FBA2" w14:textId="0329808C" w:rsidR="00DB67AF" w:rsidRDefault="00DB67AF" w:rsidP="0095273D">
      <w:pPr>
        <w:spacing w:after="0" w:line="240" w:lineRule="auto"/>
        <w:ind w:left="3692" w:hanging="998"/>
        <w:contextualSpacing/>
        <w:jc w:val="both"/>
        <w:rPr>
          <w:rFonts w:ascii="Arial" w:hAnsi="Arial" w:cs="Arial"/>
          <w:sz w:val="20"/>
          <w:szCs w:val="20"/>
        </w:rPr>
      </w:pPr>
    </w:p>
    <w:p w14:paraId="6A3536BA" w14:textId="16815C6F" w:rsidR="00DB67AF" w:rsidRDefault="00DB67AF" w:rsidP="0095273D">
      <w:pPr>
        <w:spacing w:after="0" w:line="240" w:lineRule="auto"/>
        <w:ind w:left="3692" w:hanging="998"/>
        <w:contextualSpacing/>
        <w:jc w:val="both"/>
        <w:rPr>
          <w:rFonts w:ascii="Arial" w:hAnsi="Arial" w:cs="Arial"/>
          <w:sz w:val="20"/>
          <w:szCs w:val="20"/>
        </w:rPr>
      </w:pPr>
    </w:p>
    <w:p w14:paraId="7BC3D727" w14:textId="77777777" w:rsidR="00DB67AF" w:rsidRDefault="00DB67AF" w:rsidP="0095273D">
      <w:pPr>
        <w:spacing w:after="0" w:line="240" w:lineRule="auto"/>
        <w:ind w:left="3692" w:hanging="998"/>
        <w:contextualSpacing/>
        <w:jc w:val="both"/>
        <w:rPr>
          <w:rFonts w:ascii="Arial" w:hAnsi="Arial" w:cs="Arial"/>
          <w:sz w:val="20"/>
          <w:szCs w:val="20"/>
        </w:rPr>
      </w:pP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r w:rsidR="00544559" w:rsidRPr="0095273D">
        <w:rPr>
          <w:rFonts w:ascii="Arial" w:hAnsi="Arial" w:cs="Arial"/>
          <w:b/>
          <w:sz w:val="20"/>
          <w:szCs w:val="20"/>
        </w:rPr>
        <w:t>polprofil</w:t>
      </w:r>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DDAC732"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77777777" w:rsidR="00794DE5" w:rsidRPr="0095273D"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3F4B971F" w14:textId="16B4A2C9" w:rsidR="002B56FA" w:rsidRPr="0095273D" w:rsidRDefault="00794DE5" w:rsidP="0095273D">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.2</w:t>
      </w:r>
      <w:r w:rsidR="00677DE3" w:rsidRPr="0095273D">
        <w:rPr>
          <w:rFonts w:ascii="Arial" w:hAnsi="Arial" w:cs="Arial"/>
          <w:sz w:val="20"/>
          <w:szCs w:val="20"/>
        </w:rPr>
        <w:tab/>
      </w:r>
      <w:r w:rsidRPr="0095273D">
        <w:rPr>
          <w:rFonts w:ascii="Arial" w:hAnsi="Arial" w:cs="Arial"/>
          <w:sz w:val="20"/>
          <w:szCs w:val="20"/>
        </w:rPr>
        <w:t xml:space="preserve"> </w:t>
      </w:r>
      <w:r w:rsidR="002B56FA" w:rsidRPr="0095273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bodu 2.4.2 a 2.4.3 Čas</w:t>
      </w:r>
      <w:r w:rsidR="00252C7F" w:rsidRPr="0095273D">
        <w:rPr>
          <w:rFonts w:ascii="Arial" w:eastAsia="Times New Roman" w:hAnsi="Arial" w:cs="Arial"/>
          <w:sz w:val="20"/>
          <w:szCs w:val="20"/>
        </w:rPr>
        <w:t>ť</w:t>
      </w:r>
      <w:r w:rsidR="002B56FA"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65F2F2BE" w14:textId="34575644" w:rsidR="00DB67AF" w:rsidRDefault="00DB67AF" w:rsidP="0095273D">
      <w:pPr>
        <w:spacing w:after="0" w:line="240" w:lineRule="auto"/>
        <w:contextualSpacing/>
        <w:jc w:val="center"/>
        <w:rPr>
          <w:rFonts w:ascii="Arial" w:eastAsia="Times New Roman" w:hAnsi="Arial" w:cs="Arial"/>
          <w:b/>
          <w:sz w:val="20"/>
          <w:szCs w:val="20"/>
        </w:rPr>
      </w:pPr>
    </w:p>
    <w:p w14:paraId="1595301E" w14:textId="1763B855" w:rsidR="00DB67AF" w:rsidRDefault="00DB67AF" w:rsidP="0095273D">
      <w:pPr>
        <w:spacing w:after="0" w:line="240" w:lineRule="auto"/>
        <w:contextualSpacing/>
        <w:jc w:val="center"/>
        <w:rPr>
          <w:rFonts w:ascii="Arial" w:eastAsia="Times New Roman" w:hAnsi="Arial" w:cs="Arial"/>
          <w:b/>
          <w:sz w:val="20"/>
          <w:szCs w:val="20"/>
        </w:rPr>
      </w:pPr>
    </w:p>
    <w:p w14:paraId="67A348A7" w14:textId="7E271C36" w:rsidR="00DB67AF" w:rsidRDefault="00DB67AF" w:rsidP="0095273D">
      <w:pPr>
        <w:spacing w:after="0" w:line="240" w:lineRule="auto"/>
        <w:contextualSpacing/>
        <w:jc w:val="center"/>
        <w:rPr>
          <w:rFonts w:ascii="Arial" w:eastAsia="Times New Roman" w:hAnsi="Arial" w:cs="Arial"/>
          <w:b/>
          <w:sz w:val="20"/>
          <w:szCs w:val="20"/>
        </w:rPr>
      </w:pPr>
    </w:p>
    <w:p w14:paraId="3D7232E3" w14:textId="6116FE43" w:rsidR="00DB67AF" w:rsidRDefault="00DB67AF" w:rsidP="0095273D">
      <w:pPr>
        <w:spacing w:after="0" w:line="240" w:lineRule="auto"/>
        <w:contextualSpacing/>
        <w:jc w:val="center"/>
        <w:rPr>
          <w:rFonts w:ascii="Arial" w:eastAsia="Times New Roman" w:hAnsi="Arial" w:cs="Arial"/>
          <w:b/>
          <w:sz w:val="20"/>
          <w:szCs w:val="20"/>
        </w:rPr>
      </w:pPr>
    </w:p>
    <w:p w14:paraId="4A253B56" w14:textId="11623AC5" w:rsidR="00DB67AF" w:rsidRDefault="00DB67AF" w:rsidP="0095273D">
      <w:pPr>
        <w:spacing w:after="0" w:line="240" w:lineRule="auto"/>
        <w:contextualSpacing/>
        <w:jc w:val="center"/>
        <w:rPr>
          <w:rFonts w:ascii="Arial" w:eastAsia="Times New Roman" w:hAnsi="Arial" w:cs="Arial"/>
          <w:b/>
          <w:sz w:val="20"/>
          <w:szCs w:val="20"/>
        </w:rPr>
      </w:pPr>
    </w:p>
    <w:p w14:paraId="007559F5" w14:textId="3108BCEF" w:rsidR="00DB67AF" w:rsidRDefault="00DB67AF" w:rsidP="0095273D">
      <w:pPr>
        <w:spacing w:after="0" w:line="240" w:lineRule="auto"/>
        <w:contextualSpacing/>
        <w:jc w:val="center"/>
        <w:rPr>
          <w:rFonts w:ascii="Arial" w:eastAsia="Times New Roman" w:hAnsi="Arial" w:cs="Arial"/>
          <w:b/>
          <w:sz w:val="20"/>
          <w:szCs w:val="20"/>
        </w:rPr>
      </w:pPr>
    </w:p>
    <w:p w14:paraId="3744E7C1" w14:textId="77777777"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18"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7F54F39"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628F9328"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0"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10"/>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48E8A64B" w14:textId="204072B9" w:rsidR="00DB67AF" w:rsidRDefault="00DB67AF" w:rsidP="00DB67AF">
      <w:pPr>
        <w:spacing w:after="0" w:line="240" w:lineRule="auto"/>
        <w:contextualSpacing/>
        <w:jc w:val="both"/>
        <w:rPr>
          <w:rFonts w:ascii="Arial" w:eastAsia="Times New Roman" w:hAnsi="Arial" w:cs="Arial"/>
          <w:noProof/>
          <w:sz w:val="20"/>
          <w:szCs w:val="20"/>
          <w:lang w:eastAsia="en-US"/>
        </w:rPr>
      </w:pPr>
    </w:p>
    <w:p w14:paraId="637DF720" w14:textId="727E713F"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7CB69EE" w14:textId="77777777"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0227ED86"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42D1E3FD"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„D3 Oščadnica-Čadca, Bukov, II. polprofil“.</w:t>
      </w:r>
    </w:p>
    <w:p w14:paraId="476B22B2" w14:textId="77777777" w:rsidR="00951D12" w:rsidRPr="0095273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4DB77C20" w14:textId="1321AD32"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DFE1B47" w14:textId="68692A8A"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2591CF5E" w14:textId="65CD1DD1"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8FDBE82" w14:textId="77777777" w:rsidR="00DB67AF" w:rsidRPr="0095273D"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2C3F578" w14:textId="77777777" w:rsidR="00AB1247" w:rsidRPr="0095273D" w:rsidRDefault="00AB1247"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5E00C72A" w:rsidR="006E4B7F" w:rsidRPr="00AB1247"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11" w:name="_Hlk100584835"/>
      <w:r w:rsidRPr="0095273D">
        <w:rPr>
          <w:rFonts w:ascii="Arial" w:eastAsia="Times New Roman" w:hAnsi="Arial" w:cs="Arial"/>
          <w:sz w:val="20"/>
          <w:szCs w:val="20"/>
          <w:lang w:eastAsia="en-US"/>
        </w:rPr>
        <w:t>sa uskutoční po vyhodnotení ponúk na základe kritérií na vyhodnotenie ponúk</w:t>
      </w:r>
      <w:bookmarkEnd w:id="11"/>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12"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117A7B10"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p>
    <w:bookmarkEnd w:id="12"/>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21A05821" w14:textId="77777777" w:rsidR="00124302" w:rsidRDefault="00124302" w:rsidP="0095273D">
      <w:pPr>
        <w:spacing w:after="0" w:line="240" w:lineRule="auto"/>
        <w:contextualSpacing/>
        <w:jc w:val="center"/>
        <w:rPr>
          <w:rFonts w:ascii="Arial" w:eastAsia="Times New Roman" w:hAnsi="Arial" w:cs="Arial"/>
          <w:b/>
          <w:sz w:val="20"/>
          <w:szCs w:val="20"/>
        </w:rPr>
      </w:pPr>
    </w:p>
    <w:p w14:paraId="6579F48C" w14:textId="77777777" w:rsidR="00DB67AF" w:rsidRDefault="00DB67AF" w:rsidP="0095273D">
      <w:pPr>
        <w:spacing w:after="0" w:line="240" w:lineRule="auto"/>
        <w:contextualSpacing/>
        <w:jc w:val="center"/>
        <w:rPr>
          <w:rFonts w:ascii="Arial" w:eastAsia="Times New Roman" w:hAnsi="Arial" w:cs="Arial"/>
          <w:b/>
          <w:sz w:val="20"/>
          <w:szCs w:val="20"/>
        </w:rPr>
      </w:pPr>
    </w:p>
    <w:p w14:paraId="435D1CAF" w14:textId="77777777" w:rsidR="00DB67AF" w:rsidRDefault="00DB67AF" w:rsidP="0095273D">
      <w:pPr>
        <w:spacing w:after="0" w:line="240" w:lineRule="auto"/>
        <w:contextualSpacing/>
        <w:jc w:val="center"/>
        <w:rPr>
          <w:rFonts w:ascii="Arial" w:eastAsia="Times New Roman" w:hAnsi="Arial" w:cs="Arial"/>
          <w:b/>
          <w:sz w:val="20"/>
          <w:szCs w:val="20"/>
        </w:rPr>
      </w:pP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13" w:name="_Toc461981394"/>
      <w:bookmarkStart w:id="14" w:name="_Toc461981395"/>
      <w:bookmarkStart w:id="15" w:name="_Toc461981397"/>
      <w:bookmarkStart w:id="16" w:name="_Toc461981398"/>
      <w:bookmarkStart w:id="17" w:name="_Toc461981399"/>
      <w:bookmarkStart w:id="18" w:name="_Toc461981401"/>
      <w:bookmarkStart w:id="19" w:name="_Toc461981409"/>
      <w:bookmarkStart w:id="20" w:name="_Toc461981412"/>
      <w:bookmarkStart w:id="21" w:name="_Toc461981415"/>
      <w:bookmarkStart w:id="22" w:name="_Toc461981422"/>
      <w:bookmarkStart w:id="23" w:name="_Toc461981423"/>
      <w:bookmarkStart w:id="24" w:name="_Toc461981424"/>
      <w:bookmarkStart w:id="25" w:name="_Toc461981425"/>
      <w:bookmarkStart w:id="26" w:name="_Toc461981427"/>
      <w:bookmarkStart w:id="27" w:name="_Toc461981431"/>
      <w:bookmarkStart w:id="28" w:name="_Toc46198143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0B1A992D" w:rsidR="00ED366B"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0"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1"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w:t>
      </w:r>
      <w:r w:rsidRPr="0095273D">
        <w:rPr>
          <w:rFonts w:ascii="Arial" w:hAnsi="Arial" w:cs="Arial"/>
          <w:sz w:val="20"/>
          <w:szCs w:val="20"/>
        </w:rPr>
        <w:lastRenderedPageBreak/>
        <w:t xml:space="preserve">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5EE576FD"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95273D"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2C91DC6" w:rsidR="006A558B" w:rsidRPr="0095273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77777777" w:rsidR="006A558B" w:rsidRPr="001342C2"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521A035A"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2B56FA" w:rsidRPr="001342C2">
        <w:rPr>
          <w:rFonts w:ascii="Arial" w:hAnsi="Arial" w:cs="Arial"/>
          <w:color w:val="000000" w:themeColor="text1"/>
          <w:sz w:val="20"/>
          <w:szCs w:val="20"/>
          <w:lang w:eastAsia="en-US"/>
        </w:rPr>
        <w:t xml:space="preserve">  (</w:t>
      </w:r>
      <w:hyperlink r:id="rId22"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 xml:space="preserve">osôb, pričom v </w:t>
      </w:r>
      <w:r w:rsidR="0091676E" w:rsidRPr="0095273D">
        <w:rPr>
          <w:rFonts w:ascii="Arial" w:hAnsi="Arial" w:cs="Arial"/>
          <w:sz w:val="20"/>
          <w:szCs w:val="20"/>
        </w:rPr>
        <w:lastRenderedPageBreak/>
        <w:t>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29"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29"/>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43D92659" w14:textId="77777777" w:rsidR="00F20923" w:rsidRPr="0095273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77777777" w:rsidR="002B56FA" w:rsidRPr="0095273D" w:rsidRDefault="002B56FA"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3F286D4E" w14:textId="0CF6128B" w:rsidR="00191199" w:rsidRDefault="00191199" w:rsidP="0095273D">
      <w:pPr>
        <w:pStyle w:val="Zkladntext"/>
        <w:spacing w:after="0" w:line="240" w:lineRule="auto"/>
        <w:contextualSpacing/>
        <w:rPr>
          <w:rFonts w:ascii="Arial" w:hAnsi="Arial" w:cs="Arial"/>
          <w:caps/>
          <w:sz w:val="20"/>
          <w:szCs w:val="20"/>
        </w:rPr>
      </w:pPr>
    </w:p>
    <w:p w14:paraId="573223BB" w14:textId="3991907B" w:rsidR="00191199" w:rsidRDefault="00191199" w:rsidP="0095273D">
      <w:pPr>
        <w:pStyle w:val="Zkladntext"/>
        <w:spacing w:after="0" w:line="240" w:lineRule="auto"/>
        <w:contextualSpacing/>
        <w:rPr>
          <w:rFonts w:ascii="Arial" w:hAnsi="Arial" w:cs="Arial"/>
          <w:caps/>
          <w:sz w:val="20"/>
          <w:szCs w:val="20"/>
        </w:rPr>
      </w:pPr>
    </w:p>
    <w:p w14:paraId="20608678" w14:textId="32135D85" w:rsidR="00191199" w:rsidRDefault="00191199" w:rsidP="0095273D">
      <w:pPr>
        <w:pStyle w:val="Zkladntext"/>
        <w:spacing w:after="0" w:line="240" w:lineRule="auto"/>
        <w:contextualSpacing/>
        <w:rPr>
          <w:rFonts w:ascii="Arial" w:hAnsi="Arial" w:cs="Arial"/>
          <w:caps/>
          <w:sz w:val="20"/>
          <w:szCs w:val="20"/>
        </w:rPr>
      </w:pPr>
    </w:p>
    <w:p w14:paraId="2BF78C70" w14:textId="52D3655A" w:rsidR="00191199" w:rsidRDefault="00191199" w:rsidP="0095273D">
      <w:pPr>
        <w:pStyle w:val="Zkladntext"/>
        <w:spacing w:after="0" w:line="240" w:lineRule="auto"/>
        <w:contextualSpacing/>
        <w:rPr>
          <w:rFonts w:ascii="Arial" w:hAnsi="Arial" w:cs="Arial"/>
          <w:caps/>
          <w:sz w:val="20"/>
          <w:szCs w:val="20"/>
        </w:rPr>
      </w:pPr>
    </w:p>
    <w:p w14:paraId="12E3FE2C" w14:textId="4F9A949B" w:rsidR="00191199" w:rsidRDefault="00191199" w:rsidP="0095273D">
      <w:pPr>
        <w:pStyle w:val="Zkladntext"/>
        <w:spacing w:after="0" w:line="240" w:lineRule="auto"/>
        <w:contextualSpacing/>
        <w:rPr>
          <w:rFonts w:ascii="Arial" w:hAnsi="Arial" w:cs="Arial"/>
          <w:caps/>
          <w:sz w:val="20"/>
          <w:szCs w:val="20"/>
        </w:rPr>
      </w:pPr>
    </w:p>
    <w:p w14:paraId="7843E81B" w14:textId="602C3FEE" w:rsidR="00191199" w:rsidRDefault="00191199" w:rsidP="0095273D">
      <w:pPr>
        <w:pStyle w:val="Zkladntext"/>
        <w:spacing w:after="0" w:line="240" w:lineRule="auto"/>
        <w:contextualSpacing/>
        <w:rPr>
          <w:rFonts w:ascii="Arial" w:hAnsi="Arial" w:cs="Arial"/>
          <w:caps/>
          <w:sz w:val="20"/>
          <w:szCs w:val="20"/>
        </w:rPr>
      </w:pPr>
    </w:p>
    <w:p w14:paraId="1C9D6B80" w14:textId="5E31BF67" w:rsidR="00191199" w:rsidRDefault="00191199" w:rsidP="0095273D">
      <w:pPr>
        <w:pStyle w:val="Zkladntext"/>
        <w:spacing w:after="0" w:line="240" w:lineRule="auto"/>
        <w:contextualSpacing/>
        <w:rPr>
          <w:rFonts w:ascii="Arial" w:hAnsi="Arial" w:cs="Arial"/>
          <w:caps/>
          <w:sz w:val="20"/>
          <w:szCs w:val="20"/>
        </w:rPr>
      </w:pPr>
    </w:p>
    <w:p w14:paraId="3588AB35" w14:textId="571CF375" w:rsidR="00191199" w:rsidRDefault="00191199" w:rsidP="0095273D">
      <w:pPr>
        <w:pStyle w:val="Zkladntext"/>
        <w:spacing w:after="0" w:line="240" w:lineRule="auto"/>
        <w:contextualSpacing/>
        <w:rPr>
          <w:rFonts w:ascii="Arial" w:hAnsi="Arial" w:cs="Arial"/>
          <w:caps/>
          <w:sz w:val="20"/>
          <w:szCs w:val="20"/>
        </w:rPr>
      </w:pPr>
    </w:p>
    <w:p w14:paraId="0CB4BC3A" w14:textId="77777777" w:rsidR="00191199" w:rsidRPr="0095273D" w:rsidRDefault="00191199" w:rsidP="0095273D">
      <w:pPr>
        <w:pStyle w:val="Zkladntext"/>
        <w:spacing w:after="0" w:line="240" w:lineRule="auto"/>
        <w:contextualSpacing/>
        <w:rPr>
          <w:rFonts w:ascii="Arial" w:hAnsi="Arial" w:cs="Arial"/>
          <w:caps/>
          <w:sz w:val="20"/>
          <w:szCs w:val="20"/>
        </w:rPr>
      </w:pPr>
    </w:p>
    <w:p w14:paraId="7D01C1BB" w14:textId="77777777" w:rsidR="002B56FA" w:rsidRPr="0095273D" w:rsidRDefault="002B56FA" w:rsidP="0095273D">
      <w:pPr>
        <w:pStyle w:val="Zkladntext"/>
        <w:spacing w:after="0" w:line="240" w:lineRule="auto"/>
        <w:contextualSpacing/>
        <w:rPr>
          <w:rFonts w:ascii="Arial" w:hAnsi="Arial" w:cs="Arial"/>
          <w:caps/>
          <w:sz w:val="20"/>
          <w:szCs w:val="20"/>
        </w:rPr>
      </w:pPr>
    </w:p>
    <w:p w14:paraId="477230C6" w14:textId="77777777" w:rsidR="002B56FA" w:rsidRPr="0095273D" w:rsidRDefault="002B56FA" w:rsidP="0095273D">
      <w:pPr>
        <w:pStyle w:val="Zkladntext"/>
        <w:spacing w:after="0" w:line="240" w:lineRule="auto"/>
        <w:contextualSpacing/>
        <w:rPr>
          <w:rFonts w:ascii="Arial" w:hAnsi="Arial" w:cs="Arial"/>
          <w:caps/>
          <w:sz w:val="20"/>
          <w:szCs w:val="20"/>
        </w:rPr>
      </w:pPr>
    </w:p>
    <w:p w14:paraId="02C5EFEE" w14:textId="77777777" w:rsidR="002B56FA" w:rsidRPr="0095273D" w:rsidRDefault="002B56FA" w:rsidP="0095273D">
      <w:pPr>
        <w:pStyle w:val="Zkladntext"/>
        <w:spacing w:after="0" w:line="240" w:lineRule="auto"/>
        <w:contextualSpacing/>
        <w:rPr>
          <w:rFonts w:ascii="Arial" w:hAnsi="Arial" w:cs="Arial"/>
          <w:caps/>
          <w:sz w:val="20"/>
          <w:szCs w:val="20"/>
        </w:rPr>
      </w:pPr>
    </w:p>
    <w:p w14:paraId="7E922252" w14:textId="77777777" w:rsidR="002B56FA" w:rsidRPr="0095273D" w:rsidRDefault="002B56FA" w:rsidP="0095273D">
      <w:pPr>
        <w:pStyle w:val="Zkladntext"/>
        <w:spacing w:after="0" w:line="240" w:lineRule="auto"/>
        <w:contextualSpacing/>
        <w:rPr>
          <w:rFonts w:ascii="Arial" w:hAnsi="Arial" w:cs="Arial"/>
          <w:caps/>
          <w:sz w:val="20"/>
          <w:szCs w:val="20"/>
        </w:rPr>
      </w:pPr>
    </w:p>
    <w:p w14:paraId="473BB215" w14:textId="77777777" w:rsidR="002B56FA" w:rsidRPr="0095273D" w:rsidRDefault="002B56FA" w:rsidP="0095273D">
      <w:pPr>
        <w:pStyle w:val="Zkladntext"/>
        <w:spacing w:after="0" w:line="240" w:lineRule="auto"/>
        <w:contextualSpacing/>
        <w:rPr>
          <w:rFonts w:ascii="Arial" w:hAnsi="Arial" w:cs="Arial"/>
          <w:caps/>
          <w:sz w:val="20"/>
          <w:szCs w:val="20"/>
        </w:rPr>
      </w:pPr>
    </w:p>
    <w:p w14:paraId="582B97A2" w14:textId="77978F31" w:rsidR="002B56FA" w:rsidRDefault="002B56FA" w:rsidP="0095273D">
      <w:pPr>
        <w:pStyle w:val="Zkladntext"/>
        <w:spacing w:after="0" w:line="240" w:lineRule="auto"/>
        <w:contextualSpacing/>
        <w:rPr>
          <w:rFonts w:ascii="Arial" w:hAnsi="Arial" w:cs="Arial"/>
          <w:caps/>
          <w:sz w:val="20"/>
          <w:szCs w:val="20"/>
        </w:rPr>
      </w:pPr>
    </w:p>
    <w:p w14:paraId="0C5D3188" w14:textId="6E41E314" w:rsidR="00536359" w:rsidRDefault="00536359" w:rsidP="0095273D">
      <w:pPr>
        <w:pStyle w:val="Zkladntext"/>
        <w:spacing w:after="0" w:line="240" w:lineRule="auto"/>
        <w:contextualSpacing/>
        <w:rPr>
          <w:rFonts w:ascii="Arial" w:hAnsi="Arial" w:cs="Arial"/>
          <w:caps/>
          <w:sz w:val="20"/>
          <w:szCs w:val="20"/>
        </w:rPr>
      </w:pPr>
    </w:p>
    <w:p w14:paraId="70B16AB4" w14:textId="61575FB8" w:rsidR="00536359" w:rsidRDefault="00536359" w:rsidP="0095273D">
      <w:pPr>
        <w:pStyle w:val="Zkladntext"/>
        <w:spacing w:after="0" w:line="240" w:lineRule="auto"/>
        <w:contextualSpacing/>
        <w:rPr>
          <w:rFonts w:ascii="Arial" w:hAnsi="Arial" w:cs="Arial"/>
          <w:caps/>
          <w:sz w:val="20"/>
          <w:szCs w:val="20"/>
        </w:rPr>
      </w:pPr>
    </w:p>
    <w:p w14:paraId="6FFFF812" w14:textId="49DCCFC3" w:rsidR="00536359" w:rsidRDefault="00536359" w:rsidP="0095273D">
      <w:pPr>
        <w:pStyle w:val="Zkladntext"/>
        <w:spacing w:after="0" w:line="240" w:lineRule="auto"/>
        <w:contextualSpacing/>
        <w:rPr>
          <w:rFonts w:ascii="Arial" w:hAnsi="Arial" w:cs="Arial"/>
          <w:caps/>
          <w:sz w:val="20"/>
          <w:szCs w:val="20"/>
        </w:rPr>
      </w:pPr>
    </w:p>
    <w:p w14:paraId="371B442E" w14:textId="2C137879" w:rsidR="00536359" w:rsidRDefault="00536359" w:rsidP="0095273D">
      <w:pPr>
        <w:pStyle w:val="Zkladntext"/>
        <w:spacing w:after="0" w:line="240" w:lineRule="auto"/>
        <w:contextualSpacing/>
        <w:rPr>
          <w:rFonts w:ascii="Arial" w:hAnsi="Arial" w:cs="Arial"/>
          <w:caps/>
          <w:sz w:val="20"/>
          <w:szCs w:val="20"/>
        </w:rPr>
      </w:pPr>
    </w:p>
    <w:p w14:paraId="020172AF" w14:textId="0C9943F2" w:rsidR="00536359" w:rsidRDefault="00536359" w:rsidP="0095273D">
      <w:pPr>
        <w:pStyle w:val="Zkladntext"/>
        <w:spacing w:after="0" w:line="240" w:lineRule="auto"/>
        <w:contextualSpacing/>
        <w:rPr>
          <w:rFonts w:ascii="Arial" w:hAnsi="Arial" w:cs="Arial"/>
          <w:caps/>
          <w:sz w:val="20"/>
          <w:szCs w:val="20"/>
        </w:rPr>
      </w:pPr>
    </w:p>
    <w:p w14:paraId="6ED0605F" w14:textId="4B0E1BF4" w:rsidR="00536359" w:rsidRDefault="00536359" w:rsidP="0095273D">
      <w:pPr>
        <w:pStyle w:val="Zkladntext"/>
        <w:spacing w:after="0" w:line="240" w:lineRule="auto"/>
        <w:contextualSpacing/>
        <w:rPr>
          <w:rFonts w:ascii="Arial" w:hAnsi="Arial" w:cs="Arial"/>
          <w:caps/>
          <w:sz w:val="20"/>
          <w:szCs w:val="20"/>
        </w:rPr>
      </w:pPr>
    </w:p>
    <w:p w14:paraId="77534F81" w14:textId="521E0F55" w:rsidR="00536359" w:rsidRDefault="00536359" w:rsidP="0095273D">
      <w:pPr>
        <w:pStyle w:val="Zkladntext"/>
        <w:spacing w:after="0" w:line="240" w:lineRule="auto"/>
        <w:contextualSpacing/>
        <w:rPr>
          <w:rFonts w:ascii="Arial" w:hAnsi="Arial" w:cs="Arial"/>
          <w:caps/>
          <w:sz w:val="20"/>
          <w:szCs w:val="20"/>
        </w:rPr>
      </w:pPr>
    </w:p>
    <w:p w14:paraId="663F194D" w14:textId="1DBA8E9E" w:rsidR="00536359" w:rsidRDefault="00536359" w:rsidP="0095273D">
      <w:pPr>
        <w:pStyle w:val="Zkladntext"/>
        <w:spacing w:after="0" w:line="240" w:lineRule="auto"/>
        <w:contextualSpacing/>
        <w:rPr>
          <w:rFonts w:ascii="Arial" w:hAnsi="Arial" w:cs="Arial"/>
          <w:caps/>
          <w:sz w:val="20"/>
          <w:szCs w:val="20"/>
        </w:rPr>
      </w:pPr>
    </w:p>
    <w:p w14:paraId="18FE0F9A" w14:textId="65A9565E" w:rsidR="00536359" w:rsidRDefault="00536359" w:rsidP="0095273D">
      <w:pPr>
        <w:pStyle w:val="Zkladntext"/>
        <w:spacing w:after="0" w:line="240" w:lineRule="auto"/>
        <w:contextualSpacing/>
        <w:rPr>
          <w:rFonts w:ascii="Arial" w:hAnsi="Arial" w:cs="Arial"/>
          <w:caps/>
          <w:sz w:val="20"/>
          <w:szCs w:val="20"/>
        </w:rPr>
      </w:pPr>
    </w:p>
    <w:p w14:paraId="2C6342AB" w14:textId="77777777" w:rsidR="00536359" w:rsidRPr="0095273D" w:rsidRDefault="00536359" w:rsidP="0095273D">
      <w:pPr>
        <w:pStyle w:val="Zkladntext"/>
        <w:spacing w:after="0" w:line="240" w:lineRule="auto"/>
        <w:contextualSpacing/>
        <w:rPr>
          <w:rFonts w:ascii="Arial" w:hAnsi="Arial" w:cs="Arial"/>
          <w:caps/>
          <w:sz w:val="20"/>
          <w:szCs w:val="20"/>
        </w:rPr>
      </w:pPr>
    </w:p>
    <w:p w14:paraId="1B65110C" w14:textId="05582328" w:rsidR="002B56FA" w:rsidRDefault="002B56FA" w:rsidP="0095273D">
      <w:pPr>
        <w:pStyle w:val="Zkladntext"/>
        <w:spacing w:after="0" w:line="240" w:lineRule="auto"/>
        <w:contextualSpacing/>
        <w:rPr>
          <w:rFonts w:ascii="Arial" w:hAnsi="Arial" w:cs="Arial"/>
          <w:caps/>
          <w:sz w:val="20"/>
          <w:szCs w:val="20"/>
        </w:rPr>
      </w:pPr>
    </w:p>
    <w:p w14:paraId="0F4BC21E" w14:textId="77777777" w:rsidR="002B56FA" w:rsidRPr="0095273D"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*nehodiace</w:t>
      </w:r>
      <w:bookmarkStart w:id="30" w:name="_GoBack"/>
      <w:bookmarkEnd w:id="30"/>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31"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31"/>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02393C0"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1FE80DD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246873F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563653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r w:rsidR="00544559" w:rsidRPr="0095273D">
        <w:rPr>
          <w:rFonts w:ascii="Arial" w:hAnsi="Arial" w:cs="Arial"/>
          <w:b/>
          <w:sz w:val="20"/>
          <w:szCs w:val="20"/>
        </w:rPr>
        <w:t>polprofil</w:t>
      </w:r>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32" w:name="_Hlk161737951"/>
      <w:r w:rsidRPr="0095273D">
        <w:rPr>
          <w:rFonts w:ascii="Arial" w:eastAsia="Times New Roman" w:hAnsi="Arial" w:cs="Arial"/>
          <w:b/>
          <w:sz w:val="20"/>
          <w:szCs w:val="20"/>
        </w:rPr>
        <w:t>Zväzok 2 súťažných podkladov</w:t>
      </w:r>
      <w:bookmarkEnd w:id="32"/>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3"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33"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33"/>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34"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34"/>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35"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35"/>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polprofil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polprofil</w:t>
            </w:r>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3EC44CCE"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4pt" o:ole="">
                  <v:imagedata r:id="rId24" o:title=""/>
                </v:shape>
                <w:control r:id="rId25"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4.85pt;height:20.4pt" o:ole="">
                  <v:imagedata r:id="rId26" o:title=""/>
                </v:shape>
                <w:control r:id="rId27"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0B18D4F6"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2.1pt;height:20.4pt" o:ole="">
                  <v:imagedata r:id="rId24" o:title=""/>
                </v:shape>
                <w:control r:id="rId28"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4.85pt;height:20.4pt" o:ole="">
                  <v:imagedata r:id="rId26" o:title=""/>
                </v:shape>
                <w:control r:id="rId29"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384EADB9"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2.1pt;height:20.4pt" o:ole="">
                  <v:imagedata r:id="rId30" o:title=""/>
                </v:shape>
                <w:control r:id="rId31"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4.85pt;height:20.4pt" o:ole="">
                  <v:imagedata r:id="rId26" o:title=""/>
                </v:shape>
                <w:control r:id="rId32"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35pt;height:20.4pt" o:ole="">
                  <v:imagedata r:id="rId33" o:title=""/>
                </v:shape>
                <w:control r:id="rId34"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145EA50A"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2.1pt;height:20.4pt" o:ole="">
                  <v:imagedata r:id="rId35" o:title=""/>
                </v:shape>
                <w:control r:id="rId36"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4.85pt;height:20.4pt" o:ole="">
                  <v:imagedata r:id="rId37" o:title=""/>
                </v:shape>
                <w:control r:id="rId38"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50255003"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2.1pt;height:20.4pt" o:ole="">
                  <v:imagedata r:id="rId39" o:title=""/>
                </v:shape>
                <w:control r:id="rId40"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4.85pt;height:20.4pt" o:ole="">
                  <v:imagedata r:id="rId26" o:title=""/>
                </v:shape>
                <w:control r:id="rId41"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0DBB941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2.1pt;height:20.4pt" o:ole="">
                  <v:imagedata r:id="rId35" o:title=""/>
                </v:shape>
                <w:control r:id="rId42"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4.85pt;height:20.4pt" o:ole="">
                  <v:imagedata r:id="rId37" o:title=""/>
                </v:shape>
                <w:control r:id="rId43"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5E28EFD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2.1pt;height:20.4pt" o:ole="">
                  <v:imagedata r:id="rId44" o:title=""/>
                </v:shape>
                <w:control r:id="rId45"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4.85pt;height:20.4pt" o:ole="">
                  <v:imagedata r:id="rId26" o:title=""/>
                </v:shape>
                <w:control r:id="rId46"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a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1A10240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2.1pt;height:20.4pt" o:ole="">
                  <v:imagedata r:id="rId44" o:title=""/>
                </v:shape>
                <w:control r:id="rId47"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4.85pt;height:20.4pt" o:ole="">
                  <v:imagedata r:id="rId26" o:title=""/>
                </v:shape>
                <w:control r:id="rId48"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20A6E2C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2.1pt;height:20.4pt" o:ole="">
                  <v:imagedata r:id="rId24" o:title=""/>
                </v:shape>
                <w:control r:id="rId49"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4.85pt;height:20.4pt" o:ole="">
                  <v:imagedata r:id="rId26" o:title=""/>
                </v:shape>
                <w:control r:id="rId50"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3949CF9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2.1pt;height:20.4pt" o:ole="">
                  <v:imagedata r:id="rId35" o:title=""/>
                </v:shape>
                <w:control r:id="rId51"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4.85pt;height:20.4pt" o:ole="">
                  <v:imagedata r:id="rId26" o:title=""/>
                </v:shape>
                <w:control r:id="rId52"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433641D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2.1pt;height:20.4pt" o:ole="">
                  <v:imagedata r:id="rId53" o:title=""/>
                </v:shape>
                <w:control r:id="rId54"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4.85pt;height:20.4pt" o:ole="">
                  <v:imagedata r:id="rId55" o:title=""/>
                </v:shape>
                <w:control r:id="rId56"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2575D2B1"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2.1pt;height:20.4pt" o:ole="">
                  <v:imagedata r:id="rId35" o:title=""/>
                </v:shape>
                <w:control r:id="rId57"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4.85pt;height:20.4pt" o:ole="">
                  <v:imagedata r:id="rId26" o:title=""/>
                </v:shape>
                <w:control r:id="rId58"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734FF0D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2.1pt;height:20.4pt" o:ole="">
                  <v:imagedata r:id="rId24" o:title=""/>
                </v:shape>
                <w:control r:id="rId59"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4.85pt;height:20.4pt" o:ole="">
                  <v:imagedata r:id="rId26" o:title=""/>
                </v:shape>
                <w:control r:id="rId60"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794229F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2.1pt;height:20.4pt" o:ole="">
                  <v:imagedata r:id="rId44" o:title=""/>
                </v:shape>
                <w:control r:id="rId61"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4.85pt;height:20.4pt" o:ole="">
                  <v:imagedata r:id="rId26" o:title=""/>
                </v:shape>
                <w:control r:id="rId62"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45843590"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2.1pt;height:20.4pt" o:ole="">
                  <v:imagedata r:id="rId24" o:title=""/>
                </v:shape>
                <w:control r:id="rId63"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4.85pt;height:20.4pt" o:ole="">
                  <v:imagedata r:id="rId26" o:title=""/>
                </v:shape>
                <w:control r:id="rId64"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192AB68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2.1pt;height:20.4pt" o:ole="">
                  <v:imagedata r:id="rId39" o:title=""/>
                </v:shape>
                <w:control r:id="rId65"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4.85pt;height:20.4pt" o:ole="">
                  <v:imagedata r:id="rId26" o:title=""/>
                </v:shape>
                <w:control r:id="rId66"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16A0E55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2.1pt;height:20.4pt" o:ole="">
                  <v:imagedata r:id="rId39" o:title=""/>
                </v:shape>
                <w:control r:id="rId67"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4.85pt;height:20.4pt" o:ole="">
                  <v:imagedata r:id="rId26" o:title=""/>
                </v:shape>
                <w:control r:id="rId68"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58A5AC0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2.1pt;height:20.4pt" o:ole="">
                  <v:imagedata r:id="rId35" o:title=""/>
                </v:shape>
                <w:control r:id="rId69"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4.85pt;height:20.4pt" o:ole="">
                  <v:imagedata r:id="rId26" o:title=""/>
                </v:shape>
                <w:control r:id="rId70"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2D95717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2.1pt;height:20.4pt" o:ole="">
                  <v:imagedata r:id="rId44" o:title=""/>
                </v:shape>
                <w:control r:id="rId71"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4.85pt;height:20.4pt" o:ole="">
                  <v:imagedata r:id="rId26" o:title=""/>
                </v:shape>
                <w:control r:id="rId72"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3E01595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2.1pt;height:20.4pt" o:ole="">
                  <v:imagedata r:id="rId35" o:title=""/>
                </v:shape>
                <w:control r:id="rId73"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4.85pt;height:20.4pt" o:ole="">
                  <v:imagedata r:id="rId74" o:title=""/>
                </v:shape>
                <w:control r:id="rId75"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64C4B57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2.1pt;height:20.4pt" o:ole="">
                  <v:imagedata r:id="rId24" o:title=""/>
                </v:shape>
                <w:control r:id="rId76"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4.85pt;height:20.4pt" o:ole="">
                  <v:imagedata r:id="rId26" o:title=""/>
                </v:shape>
                <w:control r:id="rId77"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20FB4C9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2.1pt;height:20.4pt" o:ole="">
                  <v:imagedata r:id="rId24" o:title=""/>
                </v:shape>
                <w:control r:id="rId78"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4.85pt;height:20.4pt" o:ole="">
                  <v:imagedata r:id="rId26" o:title=""/>
                </v:shape>
                <w:control r:id="rId79"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1BF5BC1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2.1pt;height:20.4pt" o:ole="">
                  <v:imagedata r:id="rId39" o:title=""/>
                </v:shape>
                <w:control r:id="rId80"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4.85pt;height:20.4pt" o:ole="">
                  <v:imagedata r:id="rId26" o:title=""/>
                </v:shape>
                <w:control r:id="rId81"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19EDEF6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2.1pt;height:20.4pt" o:ole="">
                  <v:imagedata r:id="rId44" o:title=""/>
                </v:shape>
                <w:control r:id="rId82"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4.85pt;height:20.4pt" o:ole="">
                  <v:imagedata r:id="rId26" o:title=""/>
                </v:shape>
                <w:control r:id="rId83"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7A4C85F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2.1pt;height:20.4pt" o:ole="">
                  <v:imagedata r:id="rId44" o:title=""/>
                </v:shape>
                <w:control r:id="rId84"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4.85pt;height:20.4pt" o:ole="">
                  <v:imagedata r:id="rId26" o:title=""/>
                </v:shape>
                <w:control r:id="rId85"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58E5578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2.1pt;height:20.4pt" o:ole="">
                  <v:imagedata r:id="rId39" o:title=""/>
                </v:shape>
                <w:control r:id="rId86"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4.85pt;height:20.4pt" o:ole="">
                  <v:imagedata r:id="rId26" o:title=""/>
                </v:shape>
                <w:control r:id="rId87"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1EEE82B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2.1pt;height:20.4pt" o:ole="">
                  <v:imagedata r:id="rId39" o:title=""/>
                </v:shape>
                <w:control r:id="rId88"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4.85pt;height:20.4pt" o:ole="">
                  <v:imagedata r:id="rId89" o:title=""/>
                </v:shape>
                <w:control r:id="rId90"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780C79A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2.1pt;height:20.4pt" o:ole="">
                  <v:imagedata r:id="rId39" o:title=""/>
                </v:shape>
                <w:control r:id="rId91"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4.85pt;height:20.4pt" o:ole="">
                  <v:imagedata r:id="rId26" o:title=""/>
                </v:shape>
                <w:control r:id="rId92"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7245015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2.1pt;height:20.4pt" o:ole="">
                  <v:imagedata r:id="rId39" o:title=""/>
                </v:shape>
                <w:control r:id="rId93"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4.85pt;height:20.4pt" o:ole="">
                  <v:imagedata r:id="rId26" o:title=""/>
                </v:shape>
                <w:control r:id="rId94"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08A27FC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2.1pt;height:20.4pt" o:ole="">
                  <v:imagedata r:id="rId95" o:title=""/>
                </v:shape>
                <w:control r:id="rId96"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4.85pt;height:20.4pt" o:ole="">
                  <v:imagedata r:id="rId26" o:title=""/>
                </v:shape>
                <w:control r:id="rId97"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37FFE72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2.1pt;height:20.4pt" o:ole="">
                  <v:imagedata r:id="rId44" o:title=""/>
                </v:shape>
                <w:control r:id="rId98"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4.85pt;height:20.4pt" o:ole="">
                  <v:imagedata r:id="rId26" o:title=""/>
                </v:shape>
                <w:control r:id="rId99"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0A1F2BA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2.1pt;height:20.4pt" o:ole="">
                  <v:imagedata r:id="rId100" o:title=""/>
                </v:shape>
                <w:control r:id="rId101"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4.85pt;height:20.4pt" o:ole="">
                  <v:imagedata r:id="rId26" o:title=""/>
                </v:shape>
                <w:control r:id="rId102"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302FD89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2.1pt;height:20.4pt" o:ole="">
                  <v:imagedata r:id="rId44" o:title=""/>
                </v:shape>
                <w:control r:id="rId103"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4.85pt;height:20.4pt" o:ole="">
                  <v:imagedata r:id="rId104" o:title=""/>
                </v:shape>
                <w:control r:id="rId105"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316FD0D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2.1pt;height:20.4pt" o:ole="">
                  <v:imagedata r:id="rId35" o:title=""/>
                </v:shape>
                <w:control r:id="rId106"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4.85pt;height:20.4pt" o:ole="">
                  <v:imagedata r:id="rId26" o:title=""/>
                </v:shape>
                <w:control r:id="rId107"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6FED4D4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2.1pt;height:20.4pt" o:ole="">
                  <v:imagedata r:id="rId39" o:title=""/>
                </v:shape>
                <w:control r:id="rId108"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4.85pt;height:20.4pt" o:ole="">
                  <v:imagedata r:id="rId26" o:title=""/>
                </v:shape>
                <w:control r:id="rId109"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5C96AEE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2.1pt;height:20.4pt" o:ole="">
                  <v:imagedata r:id="rId39" o:title=""/>
                </v:shape>
                <w:control r:id="rId110"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4.85pt;height:20.4pt" o:ole="">
                  <v:imagedata r:id="rId55" o:title=""/>
                </v:shape>
                <w:control r:id="rId111"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7047EF4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2.1pt;height:20.4pt" o:ole="">
                  <v:imagedata r:id="rId24" o:title=""/>
                </v:shape>
                <w:control r:id="rId112"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4.85pt;height:20.4pt" o:ole="">
                  <v:imagedata r:id="rId26" o:title=""/>
                </v:shape>
                <w:control r:id="rId113"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4C97F16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2.1pt;height:20.4pt" o:ole="">
                  <v:imagedata r:id="rId35" o:title=""/>
                </v:shape>
                <w:control r:id="rId114"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4.85pt;height:20.4pt" o:ole="">
                  <v:imagedata r:id="rId26" o:title=""/>
                </v:shape>
                <w:control r:id="rId115"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317D399C"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2.1pt;height:20.4pt" o:ole="">
                  <v:imagedata r:id="rId116" o:title=""/>
                </v:shape>
                <w:control r:id="rId117"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4.85pt;height:20.4pt" o:ole="">
                  <v:imagedata r:id="rId118" o:title=""/>
                </v:shape>
                <w:control r:id="rId119"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36" w:name="_Hlk135751552"/>
    </w:p>
    <w:bookmarkEnd w:id="36"/>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7777777"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1E24A04E" w14:textId="69F727E6"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resp. za roky, za ktoré je dostupný. </w:t>
      </w:r>
    </w:p>
    <w:p w14:paraId="369311E7" w14:textId="5B21BEFA"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slovom: pätnásť miliónov eur bez DPH). Obrat v oblasti, ktorej sa predmet zákazky týka uchádzač preukazuje vyššie uvedeným čestným vyhlásením podpísaným osobou oprávnenou konať v mene uchádzača, v ktorom uvedie prehľad o dosiahnutom obrate za posledné tri hospodárske roky, za ktoré sú dostupné v závislosti od vzniku alebo začatia prevádzkovania činnosti.</w:t>
      </w:r>
    </w:p>
    <w:p w14:paraId="43228EE1" w14:textId="77777777"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predchádzajúce tri roky od vyhlásenia verejného obstarávania.  </w:t>
      </w:r>
    </w:p>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37"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37"/>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38" w:name="_Hlk157512764"/>
      <w:r w:rsidRPr="0095273D">
        <w:rPr>
          <w:rFonts w:ascii="Arial" w:hAnsi="Arial" w:cs="Arial"/>
          <w:b/>
          <w:sz w:val="20"/>
          <w:szCs w:val="20"/>
        </w:rPr>
        <w:t>Minimálna požadovaná úroveň štandardov:</w:t>
      </w:r>
    </w:p>
    <w:bookmarkEnd w:id="38"/>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39"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39"/>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40"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40"/>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41"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42" w:name="_Hlk165977051"/>
      <w:r w:rsidR="005C0AD9" w:rsidRPr="00FC451A">
        <w:rPr>
          <w:rFonts w:ascii="Arial" w:hAnsi="Arial" w:cs="Arial"/>
          <w:sz w:val="20"/>
          <w:szCs w:val="20"/>
        </w:rPr>
        <w:t>Zodpovedný odborník pre banské a prevádzkové vetranie tunela</w:t>
      </w:r>
      <w:bookmarkEnd w:id="42"/>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41"/>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43"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43"/>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44" w:name="_Hlk167184085"/>
      <w:r w:rsidR="00F50B99" w:rsidRPr="00CA64F0">
        <w:rPr>
          <w:rFonts w:ascii="Arial" w:hAnsi="Arial" w:cs="Arial"/>
        </w:rPr>
        <w:t>zástupca Riaditeľa stavby</w:t>
      </w:r>
      <w:bookmarkEnd w:id="44"/>
      <w:r w:rsidRPr="0095273D">
        <w:rPr>
          <w:rFonts w:ascii="Arial" w:hAnsi="Arial" w:cs="Arial"/>
          <w:b/>
          <w:sz w:val="20"/>
          <w:szCs w:val="20"/>
        </w:rPr>
        <w:t xml:space="preserve">: </w:t>
      </w:r>
      <w:r w:rsidRPr="0095273D">
        <w:rPr>
          <w:rFonts w:ascii="Arial" w:hAnsi="Arial" w:cs="Arial"/>
          <w:sz w:val="20"/>
          <w:szCs w:val="20"/>
        </w:rPr>
        <w:t>preukáže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10CE102C"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hlavný stavbyvedúci/stavbyvedúceho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402C50BF"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Hlavný stavbyvedúci:</w:t>
      </w:r>
    </w:p>
    <w:p w14:paraId="7F227C8F" w14:textId="17D804DF"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69117D99"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Stavbyvedúci pre mosty:</w:t>
      </w:r>
    </w:p>
    <w:p w14:paraId="5F0C35F7" w14:textId="553F9AF4"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Osvedčenie o vykonaní odbornej skúšky podľa zákona č.</w:t>
      </w:r>
      <w:r w:rsidR="007A7577" w:rsidRPr="002F6905">
        <w:rPr>
          <w:rFonts w:ascii="Arial" w:hAnsi="Arial" w:cs="Arial"/>
          <w:sz w:val="20"/>
          <w:szCs w:val="20"/>
        </w:rPr>
        <w:t xml:space="preserve"> </w:t>
      </w:r>
      <w:r w:rsidRPr="002F6905">
        <w:rPr>
          <w:rFonts w:ascii="Arial" w:hAnsi="Arial" w:cs="Arial"/>
          <w:sz w:val="20"/>
          <w:szCs w:val="20"/>
        </w:rPr>
        <w:t>138/1992 Zb. pre</w:t>
      </w:r>
      <w:r w:rsidR="00C64129">
        <w:rPr>
          <w:rFonts w:ascii="Arial" w:hAnsi="Arial" w:cs="Arial"/>
          <w:sz w:val="20"/>
          <w:szCs w:val="20"/>
        </w:rPr>
        <w:t xml:space="preserve"> výkon</w:t>
      </w:r>
      <w:r w:rsidRPr="002F6905">
        <w:rPr>
          <w:rFonts w:ascii="Arial" w:hAnsi="Arial" w:cs="Arial"/>
          <w:sz w:val="20"/>
          <w:szCs w:val="20"/>
        </w:rPr>
        <w:t xml:space="preserve"> 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mosty; resp. ekvivalentný doklad platný v čase predloženia ponuky ako sken originálu alebo úradne osvedčenej fotokópie.</w:t>
      </w:r>
    </w:p>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02AC5397"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r w:rsidR="00D82D86" w:rsidRPr="0095273D">
        <w:rPr>
          <w:rFonts w:ascii="Arial" w:eastAsia="Times New Roman" w:hAnsi="Arial" w:cs="Arial"/>
          <w:sz w:val="20"/>
          <w:szCs w:val="20"/>
        </w:rPr>
        <w:t>účasť na tomto projekte musí byť v minimálnej dobe trvania zodpovedajúcej 50 % lehoty výstavby Projektu (za lehotu výstavby sa považuje lehota odo dňa vydania Oznámenia o začatí prác po vydanie Preberacieho protokolu) pri stavbách diaľnic alebo rýchlostných ciest, ktorých súčasťou bol razený tunel/tunely;</w:t>
      </w:r>
    </w:p>
    <w:p w14:paraId="2AC35E80" w14:textId="5DCB83E0"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projekt musí byť v celkovej zmluvnej cene stavebných prác projektu minimálne 50 000 000,-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päťdesiat miliónov eur) bez DPH.</w:t>
      </w:r>
    </w:p>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platný v čase predloženia ponuky ako sken originálu alebo úradne osvedčenej fotokópie.</w:t>
      </w:r>
    </w:p>
    <w:p w14:paraId="55000D69" w14:textId="77777777" w:rsidR="002C7143" w:rsidRDefault="002C7143" w:rsidP="0095273D">
      <w:pPr>
        <w:spacing w:after="0" w:line="240" w:lineRule="auto"/>
        <w:ind w:left="284"/>
        <w:contextualSpacing/>
        <w:jc w:val="both"/>
        <w:rPr>
          <w:rFonts w:ascii="Arial" w:hAnsi="Arial" w:cs="Arial"/>
          <w:sz w:val="20"/>
          <w:szCs w:val="20"/>
          <w:highlight w:val="yellow"/>
        </w:rPr>
      </w:pPr>
    </w:p>
    <w:p w14:paraId="4361F9F0" w14:textId="77777777" w:rsidR="00536359" w:rsidRDefault="00536359" w:rsidP="0095273D">
      <w:pPr>
        <w:spacing w:after="0" w:line="240" w:lineRule="auto"/>
        <w:ind w:left="709" w:hanging="425"/>
        <w:contextualSpacing/>
        <w:jc w:val="both"/>
        <w:rPr>
          <w:rFonts w:ascii="Arial" w:hAnsi="Arial" w:cs="Arial"/>
          <w:sz w:val="20"/>
          <w:szCs w:val="20"/>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45"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45"/>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46" w:name="_Hlk166833834"/>
      <w:r w:rsidR="00201596">
        <w:rPr>
          <w:rFonts w:ascii="Arial" w:hAnsi="Arial" w:cs="Arial"/>
          <w:b/>
          <w:sz w:val="20"/>
          <w:szCs w:val="20"/>
        </w:rPr>
        <w:t xml:space="preserve"> </w:t>
      </w:r>
      <w:bookmarkStart w:id="47"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46"/>
    <w:bookmarkEnd w:id="47"/>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48"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48"/>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w:t>
      </w:r>
      <w:r w:rsidRPr="0095273D">
        <w:rPr>
          <w:rFonts w:ascii="Arial" w:eastAsia="Times New Roman" w:hAnsi="Arial" w:cs="Arial"/>
          <w:sz w:val="20"/>
          <w:szCs w:val="20"/>
          <w:shd w:val="clear" w:color="auto" w:fill="FFFFFF"/>
        </w:rPr>
        <w:lastRenderedPageBreak/>
        <w:t xml:space="preserve">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14520EBD" w14:textId="2B0C2E58" w:rsidR="00773779" w:rsidRDefault="00773779" w:rsidP="0095273D">
      <w:pPr>
        <w:pStyle w:val="Odsekzoznamu"/>
        <w:spacing w:after="0" w:line="240" w:lineRule="auto"/>
        <w:ind w:left="284"/>
        <w:jc w:val="both"/>
        <w:rPr>
          <w:rFonts w:ascii="Arial" w:hAnsi="Arial" w:cs="Arial"/>
          <w:b/>
          <w:sz w:val="20"/>
          <w:szCs w:val="20"/>
        </w:rPr>
      </w:pPr>
    </w:p>
    <w:p w14:paraId="0D5ABCF7" w14:textId="6D0FFEC8" w:rsidR="00773779" w:rsidRDefault="00773779" w:rsidP="0095273D">
      <w:pPr>
        <w:pStyle w:val="Odsekzoznamu"/>
        <w:spacing w:after="0" w:line="240" w:lineRule="auto"/>
        <w:ind w:left="284"/>
        <w:jc w:val="both"/>
        <w:rPr>
          <w:rFonts w:ascii="Arial" w:hAnsi="Arial" w:cs="Arial"/>
          <w:b/>
          <w:sz w:val="20"/>
          <w:szCs w:val="20"/>
        </w:rPr>
      </w:pPr>
    </w:p>
    <w:p w14:paraId="19AE418F" w14:textId="4D15CB03" w:rsidR="00773779" w:rsidRDefault="00773779" w:rsidP="0095273D">
      <w:pPr>
        <w:pStyle w:val="Odsekzoznamu"/>
        <w:spacing w:after="0" w:line="240" w:lineRule="auto"/>
        <w:ind w:left="284"/>
        <w:jc w:val="both"/>
        <w:rPr>
          <w:rFonts w:ascii="Arial" w:hAnsi="Arial" w:cs="Arial"/>
          <w:b/>
          <w:sz w:val="20"/>
          <w:szCs w:val="20"/>
        </w:rPr>
      </w:pPr>
    </w:p>
    <w:p w14:paraId="581A178B" w14:textId="7C060715"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49" w:name="_Hlk129093998"/>
      <w:r w:rsidRPr="0095273D">
        <w:rPr>
          <w:rFonts w:ascii="Arial" w:eastAsia="Times New Roman" w:hAnsi="Arial" w:cs="Arial"/>
          <w:b/>
          <w:caps/>
          <w:sz w:val="20"/>
          <w:szCs w:val="20"/>
        </w:rPr>
        <w:t xml:space="preserve">Príloha B8  </w:t>
      </w:r>
      <w:bookmarkEnd w:id="49"/>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6D0CD473" w:rsidR="00CB7749" w:rsidRDefault="00CB7749"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1A5C8DF4" w14:textId="6BBE89B4" w:rsidR="00D0747F" w:rsidRDefault="00D0747F" w:rsidP="0095273D">
      <w:pPr>
        <w:pStyle w:val="Odsekzoznamu"/>
        <w:spacing w:after="0" w:line="240" w:lineRule="auto"/>
        <w:ind w:left="284"/>
        <w:jc w:val="both"/>
        <w:rPr>
          <w:rFonts w:ascii="Arial" w:hAnsi="Arial" w:cs="Arial"/>
          <w:b/>
          <w:sz w:val="20"/>
          <w:szCs w:val="20"/>
        </w:rPr>
      </w:pPr>
    </w:p>
    <w:p w14:paraId="07B5A3D9" w14:textId="5E5B6D35" w:rsidR="00D0747F" w:rsidRDefault="00D0747F" w:rsidP="0095273D">
      <w:pPr>
        <w:pStyle w:val="Odsekzoznamu"/>
        <w:spacing w:after="0" w:line="240" w:lineRule="auto"/>
        <w:ind w:left="284"/>
        <w:jc w:val="both"/>
        <w:rPr>
          <w:rFonts w:ascii="Arial" w:hAnsi="Arial" w:cs="Arial"/>
          <w:b/>
          <w:sz w:val="20"/>
          <w:szCs w:val="20"/>
        </w:rPr>
      </w:pPr>
    </w:p>
    <w:p w14:paraId="74797EFD" w14:textId="77777777" w:rsidR="00D0747F" w:rsidRDefault="00D0747F" w:rsidP="0095273D">
      <w:pPr>
        <w:pStyle w:val="Odsekzoznamu"/>
        <w:spacing w:after="0" w:line="240" w:lineRule="auto"/>
        <w:ind w:left="284"/>
        <w:jc w:val="both"/>
        <w:rPr>
          <w:rFonts w:ascii="Arial" w:hAnsi="Arial" w:cs="Arial"/>
          <w:b/>
          <w:sz w:val="20"/>
          <w:szCs w:val="20"/>
        </w:rPr>
      </w:pPr>
    </w:p>
    <w:p w14:paraId="35A8FD98" w14:textId="2F158D95" w:rsidR="00DD160F" w:rsidRDefault="00DD160F" w:rsidP="0095273D">
      <w:pPr>
        <w:pStyle w:val="Odsekzoznamu"/>
        <w:spacing w:after="0" w:line="240" w:lineRule="auto"/>
        <w:ind w:left="284"/>
        <w:jc w:val="both"/>
        <w:rPr>
          <w:rFonts w:ascii="Arial" w:hAnsi="Arial" w:cs="Arial"/>
          <w:b/>
          <w:sz w:val="20"/>
          <w:szCs w:val="20"/>
        </w:rPr>
      </w:pPr>
    </w:p>
    <w:p w14:paraId="68E54D0A" w14:textId="3FC97683" w:rsidR="00DD160F" w:rsidRDefault="00DD160F" w:rsidP="0095273D">
      <w:pPr>
        <w:pStyle w:val="Odsekzoznamu"/>
        <w:spacing w:after="0" w:line="240" w:lineRule="auto"/>
        <w:ind w:left="284"/>
        <w:jc w:val="both"/>
        <w:rPr>
          <w:rFonts w:ascii="Arial" w:hAnsi="Arial" w:cs="Arial"/>
          <w:b/>
          <w:sz w:val="20"/>
          <w:szCs w:val="20"/>
        </w:rPr>
      </w:pPr>
    </w:p>
    <w:p w14:paraId="2ED45F6D" w14:textId="245D984A" w:rsidR="00DD160F" w:rsidRDefault="00DD160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0"/>
      <w:footerReference w:type="default" r:id="rId121"/>
      <w:headerReference w:type="first" r:id="rId12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AD654E" w:rsidRDefault="00AD654E" w:rsidP="00B538C0">
      <w:r>
        <w:separator/>
      </w:r>
    </w:p>
  </w:endnote>
  <w:endnote w:type="continuationSeparator" w:id="0">
    <w:p w14:paraId="30792C08" w14:textId="77777777" w:rsidR="00AD654E" w:rsidRDefault="00AD654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C9023D6" w:rsidR="00AD654E" w:rsidRPr="00D05744" w:rsidRDefault="00AD654E"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60</w:t>
    </w:r>
    <w:r w:rsidRPr="00D05744">
      <w:rPr>
        <w:rStyle w:val="slostrany"/>
        <w:rFonts w:ascii="Arial" w:hAnsi="Arial" w:cs="Arial"/>
        <w:sz w:val="18"/>
        <w:szCs w:val="18"/>
      </w:rPr>
      <w:fldChar w:fldCharType="end"/>
    </w:r>
  </w:p>
  <w:p w14:paraId="51D848CD" w14:textId="3F4D83CF" w:rsidR="00AD654E" w:rsidRPr="00D05744" w:rsidRDefault="00AD654E"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AD654E" w:rsidRDefault="00AD654E" w:rsidP="00B538C0">
      <w:r>
        <w:separator/>
      </w:r>
    </w:p>
  </w:footnote>
  <w:footnote w:type="continuationSeparator" w:id="0">
    <w:p w14:paraId="09695599" w14:textId="77777777" w:rsidR="00AD654E" w:rsidRDefault="00AD654E" w:rsidP="00B538C0">
      <w:r>
        <w:continuationSeparator/>
      </w:r>
    </w:p>
  </w:footnote>
  <w:footnote w:id="1">
    <w:p w14:paraId="4149F8EC" w14:textId="77777777" w:rsidR="00AD654E" w:rsidRPr="00930BD8" w:rsidRDefault="00AD654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AD654E" w:rsidRPr="00930BD8" w:rsidRDefault="00AD654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AD654E" w:rsidRPr="002E07C8" w:rsidRDefault="00AD654E"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AD654E" w:rsidRPr="002E07C8" w:rsidRDefault="00AD654E"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AD654E" w:rsidRPr="009657AF" w:rsidRDefault="00AD654E"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AD654E" w:rsidRPr="002E07C8" w:rsidRDefault="00AD654E"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AD654E" w:rsidRDefault="00AD654E" w:rsidP="00BD3D04">
      <w:pPr>
        <w:pStyle w:val="Textpoznmkypodiarou"/>
      </w:pPr>
    </w:p>
  </w:footnote>
  <w:footnote w:id="7">
    <w:p w14:paraId="5471E46C" w14:textId="77777777" w:rsidR="00AD654E" w:rsidRPr="002E07C8" w:rsidRDefault="00AD654E"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AD654E" w:rsidRPr="006C6EB1" w:rsidRDefault="00AD654E"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AD654E" w:rsidRPr="006C6EB1" w:rsidRDefault="00AD654E"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AD654E" w:rsidRPr="006C6EB1" w:rsidRDefault="00AD654E"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AD654E" w:rsidRPr="006C6EB1" w:rsidRDefault="00AD654E"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AD654E" w:rsidRPr="006C6EB1" w:rsidRDefault="00AD654E"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AD654E" w:rsidRPr="006C6EB1" w:rsidRDefault="00AD654E"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AD654E" w:rsidRPr="006C6EB1" w:rsidRDefault="00AD654E"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AD654E" w:rsidRPr="006C6EB1" w:rsidRDefault="00AD654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AD654E" w:rsidRPr="006C6EB1" w:rsidRDefault="00AD654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AD654E" w:rsidRPr="006C6EB1" w:rsidRDefault="00AD654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AD654E" w:rsidRPr="006C6EB1" w:rsidRDefault="00AD654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AD654E" w:rsidRPr="006C6EB1" w:rsidRDefault="00AD654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AD654E" w:rsidRPr="006C6EB1" w:rsidRDefault="00AD654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AD654E" w:rsidRPr="006C6EB1" w:rsidRDefault="00AD654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AD654E" w:rsidRPr="006C6EB1" w:rsidRDefault="00AD654E" w:rsidP="001435F6">
      <w:pPr>
        <w:jc w:val="both"/>
        <w:rPr>
          <w:rFonts w:ascii="Arial" w:hAnsi="Arial" w:cs="Arial"/>
        </w:rPr>
      </w:pPr>
    </w:p>
  </w:footnote>
  <w:footnote w:id="31">
    <w:p w14:paraId="7602B9C0" w14:textId="77777777" w:rsidR="00AD654E" w:rsidRDefault="00AD654E"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AD654E" w:rsidRDefault="00AD654E"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AD654E" w:rsidRPr="006C6EB1" w:rsidRDefault="00AD654E"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AD654E" w:rsidRDefault="00AD654E"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AD654E" w:rsidRPr="006C6EB1" w:rsidRDefault="00AD654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AD654E" w:rsidRDefault="00AD654E" w:rsidP="001435F6">
      <w:pPr>
        <w:pStyle w:val="Textpoznmkypodiarou"/>
      </w:pPr>
    </w:p>
  </w:footnote>
  <w:footnote w:id="39">
    <w:p w14:paraId="156B4BCF"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AD654E" w:rsidRDefault="00AD654E" w:rsidP="001435F6">
      <w:pPr>
        <w:pStyle w:val="Textpoznmkypodiarou"/>
        <w:jc w:val="both"/>
      </w:pPr>
    </w:p>
  </w:footnote>
  <w:footnote w:id="40">
    <w:p w14:paraId="72B667DF" w14:textId="77777777" w:rsidR="00AD654E" w:rsidRDefault="00AD654E"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AD654E" w:rsidRDefault="00AD654E"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AD654E" w:rsidRPr="006C6EB1" w:rsidRDefault="00AD654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AD654E" w:rsidRPr="006C6EB1" w:rsidRDefault="00AD654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AD654E" w:rsidRPr="006C6EB1" w:rsidRDefault="00AD654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AD654E" w:rsidRPr="006C6EB1" w:rsidRDefault="00AD654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AD654E" w:rsidRPr="006C6EB1" w:rsidRDefault="00AD654E"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AD654E" w:rsidRDefault="00AD654E" w:rsidP="001435F6">
      <w:pPr>
        <w:pStyle w:val="Textpoznmkypodiarou"/>
        <w:jc w:val="both"/>
      </w:pPr>
    </w:p>
  </w:footnote>
  <w:footnote w:id="50">
    <w:p w14:paraId="5B8269BB" w14:textId="77777777" w:rsidR="00AD654E" w:rsidRDefault="00AD654E"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AD654E" w:rsidRPr="006C6EB1" w:rsidRDefault="00AD654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AD654E" w:rsidRDefault="00AD654E">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AD654E" w:rsidRDefault="00AD654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AD654E" w:rsidRDefault="00AD654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AD654E" w:rsidRPr="00911733" w:rsidRDefault="00AD654E"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AD654E" w:rsidRPr="00D05744" w:rsidRDefault="00AD654E"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AD654E" w:rsidRPr="006959C1" w:rsidRDefault="00AD654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8"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9"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0"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1"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4" w15:restartNumberingAfterBreak="0">
    <w:nsid w:val="6A2D079A"/>
    <w:multiLevelType w:val="hybridMultilevel"/>
    <w:tmpl w:val="7460140C"/>
    <w:numStyleLink w:val="Importovantl1"/>
  </w:abstractNum>
  <w:abstractNum w:abstractNumId="75"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8"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0"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2"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3"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6"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1"/>
  </w:num>
  <w:num w:numId="2">
    <w:abstractNumId w:val="10"/>
  </w:num>
  <w:num w:numId="3">
    <w:abstractNumId w:val="8"/>
  </w:num>
  <w:num w:numId="4">
    <w:abstractNumId w:val="55"/>
  </w:num>
  <w:num w:numId="5">
    <w:abstractNumId w:val="83"/>
  </w:num>
  <w:num w:numId="6">
    <w:abstractNumId w:val="52"/>
    <w:lvlOverride w:ilvl="0">
      <w:startOverride w:val="1"/>
    </w:lvlOverride>
  </w:num>
  <w:num w:numId="7">
    <w:abstractNumId w:val="77"/>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7"/>
  </w:num>
  <w:num w:numId="18">
    <w:abstractNumId w:val="65"/>
  </w:num>
  <w:num w:numId="19">
    <w:abstractNumId w:val="20"/>
  </w:num>
  <w:num w:numId="20">
    <w:abstractNumId w:val="49"/>
  </w:num>
  <w:num w:numId="21">
    <w:abstractNumId w:val="28"/>
  </w:num>
  <w:num w:numId="22">
    <w:abstractNumId w:val="3"/>
  </w:num>
  <w:num w:numId="23">
    <w:abstractNumId w:val="76"/>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4"/>
  </w:num>
  <w:num w:numId="31">
    <w:abstractNumId w:val="71"/>
  </w:num>
  <w:num w:numId="32">
    <w:abstractNumId w:val="45"/>
  </w:num>
  <w:num w:numId="33">
    <w:abstractNumId w:val="73"/>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69"/>
  </w:num>
  <w:num w:numId="49">
    <w:abstractNumId w:val="42"/>
  </w:num>
  <w:num w:numId="50">
    <w:abstractNumId w:val="4"/>
  </w:num>
  <w:num w:numId="51">
    <w:abstractNumId w:val="43"/>
  </w:num>
  <w:num w:numId="52">
    <w:abstractNumId w:val="88"/>
  </w:num>
  <w:num w:numId="53">
    <w:abstractNumId w:val="33"/>
  </w:num>
  <w:num w:numId="54">
    <w:abstractNumId w:val="46"/>
  </w:num>
  <w:num w:numId="55">
    <w:abstractNumId w:val="82"/>
  </w:num>
  <w:num w:numId="56">
    <w:abstractNumId w:val="80"/>
  </w:num>
  <w:num w:numId="57">
    <w:abstractNumId w:val="9"/>
  </w:num>
  <w:num w:numId="58">
    <w:abstractNumId w:val="7"/>
  </w:num>
  <w:num w:numId="59">
    <w:abstractNumId w:val="29"/>
  </w:num>
  <w:num w:numId="60">
    <w:abstractNumId w:val="66"/>
  </w:num>
  <w:num w:numId="61">
    <w:abstractNumId w:val="11"/>
  </w:num>
  <w:num w:numId="62">
    <w:abstractNumId w:val="70"/>
  </w:num>
  <w:num w:numId="63">
    <w:abstractNumId w:val="79"/>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6"/>
  </w:num>
  <w:num w:numId="67">
    <w:abstractNumId w:val="21"/>
  </w:num>
  <w:num w:numId="68">
    <w:abstractNumId w:val="78"/>
  </w:num>
  <w:num w:numId="69">
    <w:abstractNumId w:val="25"/>
  </w:num>
  <w:num w:numId="70">
    <w:abstractNumId w:val="47"/>
  </w:num>
  <w:num w:numId="71">
    <w:abstractNumId w:val="37"/>
  </w:num>
  <w:num w:numId="72">
    <w:abstractNumId w:val="1"/>
  </w:num>
  <w:num w:numId="73">
    <w:abstractNumId w:val="61"/>
  </w:num>
  <w:num w:numId="74">
    <w:abstractNumId w:val="72"/>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5"/>
  </w:num>
  <w:num w:numId="82">
    <w:abstractNumId w:val="75"/>
  </w:num>
  <w:num w:numId="83">
    <w:abstractNumId w:val="57"/>
  </w:num>
  <w:num w:numId="84">
    <w:abstractNumId w:val="36"/>
  </w:num>
  <w:num w:numId="85">
    <w:abstractNumId w:val="58"/>
  </w:num>
  <w:num w:numId="86">
    <w:abstractNumId w:val="68"/>
  </w:num>
  <w:num w:numId="87">
    <w:abstractNumId w:val="34"/>
  </w:num>
  <w:num w:numId="88">
    <w:abstractNumId w:val="6"/>
  </w:num>
  <w:num w:numId="89">
    <w:abstractNumId w:val="84"/>
  </w:num>
  <w:num w:numId="90">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284"/>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2190"/>
    <w:rsid w:val="00BF28D4"/>
    <w:rsid w:val="00BF40F8"/>
    <w:rsid w:val="00BF47E6"/>
    <w:rsid w:val="00BF499B"/>
    <w:rsid w:val="00BF54CE"/>
    <w:rsid w:val="00BF5F5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E3D"/>
    <w:rsid w:val="00D7143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8.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2.xml"/><Relationship Id="rId47" Type="http://schemas.openxmlformats.org/officeDocument/2006/relationships/control" Target="activeX/activeX16.xml"/><Relationship Id="rId63" Type="http://schemas.openxmlformats.org/officeDocument/2006/relationships/control" Target="activeX/activeX30.xml"/><Relationship Id="rId68" Type="http://schemas.openxmlformats.org/officeDocument/2006/relationships/control" Target="activeX/activeX35.xml"/><Relationship Id="rId84" Type="http://schemas.openxmlformats.org/officeDocument/2006/relationships/control" Target="activeX/activeX50.xml"/><Relationship Id="rId89" Type="http://schemas.openxmlformats.org/officeDocument/2006/relationships/image" Target="media/image13.wmf"/><Relationship Id="rId112" Type="http://schemas.openxmlformats.org/officeDocument/2006/relationships/control" Target="activeX/activeX74.xml"/><Relationship Id="rId16" Type="http://schemas.openxmlformats.org/officeDocument/2006/relationships/hyperlink" Target="https://josephine.proebiz.com/" TargetMode="External"/><Relationship Id="rId107" Type="http://schemas.openxmlformats.org/officeDocument/2006/relationships/control" Target="activeX/activeX69.xml"/><Relationship Id="rId11" Type="http://schemas.openxmlformats.org/officeDocument/2006/relationships/hyperlink" Target="mailto:maria.kokindova@ndsas.sk" TargetMode="External"/><Relationship Id="rId32" Type="http://schemas.openxmlformats.org/officeDocument/2006/relationships/control" Target="activeX/activeX6.xml"/><Relationship Id="rId37" Type="http://schemas.openxmlformats.org/officeDocument/2006/relationships/image" Target="media/image7.wmf"/><Relationship Id="rId53" Type="http://schemas.openxmlformats.org/officeDocument/2006/relationships/image" Target="media/image10.wmf"/><Relationship Id="rId58" Type="http://schemas.openxmlformats.org/officeDocument/2006/relationships/control" Target="activeX/activeX25.xml"/><Relationship Id="rId74" Type="http://schemas.openxmlformats.org/officeDocument/2006/relationships/image" Target="media/image12.wmf"/><Relationship Id="rId79" Type="http://schemas.openxmlformats.org/officeDocument/2006/relationships/control" Target="activeX/activeX45.xml"/><Relationship Id="rId102" Type="http://schemas.openxmlformats.org/officeDocument/2006/relationships/control" Target="activeX/activeX65.xml"/><Relationship Id="rId123"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control" Target="activeX/activeX28.xml"/><Relationship Id="rId82" Type="http://schemas.openxmlformats.org/officeDocument/2006/relationships/control" Target="activeX/activeX48.xml"/><Relationship Id="rId90" Type="http://schemas.openxmlformats.org/officeDocument/2006/relationships/control" Target="activeX/activeX55.xml"/><Relationship Id="rId95" Type="http://schemas.openxmlformats.org/officeDocument/2006/relationships/image" Target="media/image14.wmf"/><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image" Target="media/image4.wmf"/><Relationship Id="rId35" Type="http://schemas.openxmlformats.org/officeDocument/2006/relationships/image" Target="media/image6.wmf"/><Relationship Id="rId43" Type="http://schemas.openxmlformats.org/officeDocument/2006/relationships/control" Target="activeX/activeX13.xml"/><Relationship Id="rId48" Type="http://schemas.openxmlformats.org/officeDocument/2006/relationships/control" Target="activeX/activeX17.xml"/><Relationship Id="rId56" Type="http://schemas.openxmlformats.org/officeDocument/2006/relationships/control" Target="activeX/activeX23.xml"/><Relationship Id="rId64" Type="http://schemas.openxmlformats.org/officeDocument/2006/relationships/control" Target="activeX/activeX31.xml"/><Relationship Id="rId69" Type="http://schemas.openxmlformats.org/officeDocument/2006/relationships/control" Target="activeX/activeX36.xml"/><Relationship Id="rId77" Type="http://schemas.openxmlformats.org/officeDocument/2006/relationships/control" Target="activeX/activeX43.xml"/><Relationship Id="rId100" Type="http://schemas.openxmlformats.org/officeDocument/2006/relationships/image" Target="media/image15.wmf"/><Relationship Id="rId105" Type="http://schemas.openxmlformats.org/officeDocument/2006/relationships/control" Target="activeX/activeX67.xml"/><Relationship Id="rId113" Type="http://schemas.openxmlformats.org/officeDocument/2006/relationships/control" Target="activeX/activeX75.xml"/><Relationship Id="rId118" Type="http://schemas.openxmlformats.org/officeDocument/2006/relationships/image" Target="media/image18.wmf"/><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control" Target="activeX/activeX39.xml"/><Relationship Id="rId80" Type="http://schemas.openxmlformats.org/officeDocument/2006/relationships/control" Target="activeX/activeX46.xml"/><Relationship Id="rId85" Type="http://schemas.openxmlformats.org/officeDocument/2006/relationships/control" Target="activeX/activeX51.xml"/><Relationship Id="rId93" Type="http://schemas.openxmlformats.org/officeDocument/2006/relationships/control" Target="activeX/activeX58.xml"/><Relationship Id="rId98" Type="http://schemas.openxmlformats.org/officeDocument/2006/relationships/control" Target="activeX/activeX62.xml"/><Relationship Id="rId121"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image" Target="media/image5.wmf"/><Relationship Id="rId38" Type="http://schemas.openxmlformats.org/officeDocument/2006/relationships/control" Target="activeX/activeX9.xml"/><Relationship Id="rId46" Type="http://schemas.openxmlformats.org/officeDocument/2006/relationships/control" Target="activeX/activeX15.xml"/><Relationship Id="rId59" Type="http://schemas.openxmlformats.org/officeDocument/2006/relationships/control" Target="activeX/activeX26.xml"/><Relationship Id="rId67" Type="http://schemas.openxmlformats.org/officeDocument/2006/relationships/control" Target="activeX/activeX34.xml"/><Relationship Id="rId103" Type="http://schemas.openxmlformats.org/officeDocument/2006/relationships/control" Target="activeX/activeX66.xml"/><Relationship Id="rId108" Type="http://schemas.openxmlformats.org/officeDocument/2006/relationships/control" Target="activeX/activeX70.xml"/><Relationship Id="rId116" Type="http://schemas.openxmlformats.org/officeDocument/2006/relationships/image" Target="media/image17.wmf"/><Relationship Id="rId124" Type="http://schemas.openxmlformats.org/officeDocument/2006/relationships/theme" Target="theme/theme1.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54" Type="http://schemas.openxmlformats.org/officeDocument/2006/relationships/control" Target="activeX/activeX22.xml"/><Relationship Id="rId62" Type="http://schemas.openxmlformats.org/officeDocument/2006/relationships/control" Target="activeX/activeX29.xml"/><Relationship Id="rId70" Type="http://schemas.openxmlformats.org/officeDocument/2006/relationships/control" Target="activeX/activeX37.xml"/><Relationship Id="rId75" Type="http://schemas.openxmlformats.org/officeDocument/2006/relationships/control" Target="activeX/activeX41.xml"/><Relationship Id="rId83" Type="http://schemas.openxmlformats.org/officeDocument/2006/relationships/control" Target="activeX/activeX49.xml"/><Relationship Id="rId88" Type="http://schemas.openxmlformats.org/officeDocument/2006/relationships/control" Target="activeX/activeX54.xml"/><Relationship Id="rId91" Type="http://schemas.openxmlformats.org/officeDocument/2006/relationships/control" Target="activeX/activeX56.xml"/><Relationship Id="rId96" Type="http://schemas.openxmlformats.org/officeDocument/2006/relationships/control" Target="activeX/activeX60.xml"/><Relationship Id="rId111" Type="http://schemas.openxmlformats.org/officeDocument/2006/relationships/control" Target="activeX/activeX7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control" Target="activeX/activeX3.xml"/><Relationship Id="rId36" Type="http://schemas.openxmlformats.org/officeDocument/2006/relationships/control" Target="activeX/activeX8.xml"/><Relationship Id="rId49" Type="http://schemas.openxmlformats.org/officeDocument/2006/relationships/control" Target="activeX/activeX18.xml"/><Relationship Id="rId57" Type="http://schemas.openxmlformats.org/officeDocument/2006/relationships/control" Target="activeX/activeX24.xml"/><Relationship Id="rId106" Type="http://schemas.openxmlformats.org/officeDocument/2006/relationships/control" Target="activeX/activeX68.xml"/><Relationship Id="rId114" Type="http://schemas.openxmlformats.org/officeDocument/2006/relationships/control" Target="activeX/activeX76.xml"/><Relationship Id="rId119" Type="http://schemas.openxmlformats.org/officeDocument/2006/relationships/control" Target="activeX/activeX79.xml"/><Relationship Id="rId10" Type="http://schemas.openxmlformats.org/officeDocument/2006/relationships/image" Target="media/image1.png"/><Relationship Id="rId31" Type="http://schemas.openxmlformats.org/officeDocument/2006/relationships/control" Target="activeX/activeX5.xml"/><Relationship Id="rId44" Type="http://schemas.openxmlformats.org/officeDocument/2006/relationships/image" Target="media/image9.wmf"/><Relationship Id="rId52" Type="http://schemas.openxmlformats.org/officeDocument/2006/relationships/control" Target="activeX/activeX21.xml"/><Relationship Id="rId60" Type="http://schemas.openxmlformats.org/officeDocument/2006/relationships/control" Target="activeX/activeX27.xml"/><Relationship Id="rId65" Type="http://schemas.openxmlformats.org/officeDocument/2006/relationships/control" Target="activeX/activeX32.xml"/><Relationship Id="rId73" Type="http://schemas.openxmlformats.org/officeDocument/2006/relationships/control" Target="activeX/activeX40.xml"/><Relationship Id="rId78" Type="http://schemas.openxmlformats.org/officeDocument/2006/relationships/control" Target="activeX/activeX44.xml"/><Relationship Id="rId81" Type="http://schemas.openxmlformats.org/officeDocument/2006/relationships/control" Target="activeX/activeX47.xml"/><Relationship Id="rId86" Type="http://schemas.openxmlformats.org/officeDocument/2006/relationships/control" Target="activeX/activeX52.xml"/><Relationship Id="rId94" Type="http://schemas.openxmlformats.org/officeDocument/2006/relationships/control" Target="activeX/activeX59.xml"/><Relationship Id="rId99" Type="http://schemas.openxmlformats.org/officeDocument/2006/relationships/control" Target="activeX/activeX63.xml"/><Relationship Id="rId101" Type="http://schemas.openxmlformats.org/officeDocument/2006/relationships/control" Target="activeX/activeX64.xml"/><Relationship Id="rId122"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71.xml"/><Relationship Id="rId34" Type="http://schemas.openxmlformats.org/officeDocument/2006/relationships/control" Target="activeX/activeX7.xml"/><Relationship Id="rId50" Type="http://schemas.openxmlformats.org/officeDocument/2006/relationships/control" Target="activeX/activeX19.xml"/><Relationship Id="rId55" Type="http://schemas.openxmlformats.org/officeDocument/2006/relationships/image" Target="media/image11.wmf"/><Relationship Id="rId76" Type="http://schemas.openxmlformats.org/officeDocument/2006/relationships/control" Target="activeX/activeX42.xml"/><Relationship Id="rId97" Type="http://schemas.openxmlformats.org/officeDocument/2006/relationships/control" Target="activeX/activeX61.xml"/><Relationship Id="rId104" Type="http://schemas.openxmlformats.org/officeDocument/2006/relationships/image" Target="media/image16.wmf"/><Relationship Id="rId120"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control" Target="activeX/activeX38.xml"/><Relationship Id="rId92" Type="http://schemas.openxmlformats.org/officeDocument/2006/relationships/control" Target="activeX/activeX57.xml"/><Relationship Id="rId2" Type="http://schemas.openxmlformats.org/officeDocument/2006/relationships/customXml" Target="../customXml/item2.xml"/><Relationship Id="rId29" Type="http://schemas.openxmlformats.org/officeDocument/2006/relationships/control" Target="activeX/activeX4.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control" Target="activeX/activeX14.xml"/><Relationship Id="rId66" Type="http://schemas.openxmlformats.org/officeDocument/2006/relationships/control" Target="activeX/activeX33.xml"/><Relationship Id="rId87" Type="http://schemas.openxmlformats.org/officeDocument/2006/relationships/control" Target="activeX/activeX53.xml"/><Relationship Id="rId110" Type="http://schemas.openxmlformats.org/officeDocument/2006/relationships/control" Target="activeX/activeX72.xml"/><Relationship Id="rId115" Type="http://schemas.openxmlformats.org/officeDocument/2006/relationships/control" Target="activeX/activeX7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14A53-DFA9-4B49-B327-D95EDE3BC9AE}">
  <ds:schemaRefs>
    <ds:schemaRef ds:uri="http://schemas.openxmlformats.org/officeDocument/2006/bibliography"/>
  </ds:schemaRefs>
</ds:datastoreItem>
</file>

<file path=customXml/itemProps2.xml><?xml version="1.0" encoding="utf-8"?>
<ds:datastoreItem xmlns:ds="http://schemas.openxmlformats.org/officeDocument/2006/customXml" ds:itemID="{4AC3563C-D833-4314-9DE7-6CBC2EE3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23916</Words>
  <Characters>136323</Characters>
  <Application>Microsoft Office Word</Application>
  <DocSecurity>0</DocSecurity>
  <Lines>1136</Lines>
  <Paragraphs>319</Paragraphs>
  <ScaleCrop>false</ScaleCrop>
  <Company/>
  <LinksUpToDate>false</LinksUpToDate>
  <CharactersWithSpaces>159920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2024-05-30T11:02:00Z</dcterms:created>
  <dcterms:modified xsi:type="dcterms:W3CDTF">2024-05-30T11:03:00Z</dcterms:modified>
</cp:coreProperties>
</file>