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A57DED3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B43796" w:rsidRPr="00B43796">
        <w:rPr>
          <w:rFonts w:ascii="Arial" w:hAnsi="Arial" w:cs="Arial"/>
          <w:b/>
          <w:bCs/>
          <w:lang w:val="sk-SK"/>
        </w:rPr>
        <w:t>Pružný vak na uskladnenie hnojovky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4023B0" w:rsidRPr="004023B0">
        <w:rPr>
          <w:b/>
          <w:bCs/>
          <w:sz w:val="24"/>
          <w:szCs w:val="28"/>
        </w:rPr>
        <w:t>Agro Insemas, s.r.o.</w:t>
      </w:r>
      <w:r w:rsidR="00EF2F79" w:rsidRPr="008D7059">
        <w:rPr>
          <w:b/>
          <w:bCs/>
          <w:sz w:val="24"/>
          <w:szCs w:val="28"/>
        </w:rPr>
        <w:t xml:space="preserve">, </w:t>
      </w:r>
      <w:r w:rsidR="004023B0" w:rsidRPr="004023B0">
        <w:rPr>
          <w:b/>
          <w:bCs/>
          <w:sz w:val="24"/>
          <w:szCs w:val="28"/>
        </w:rPr>
        <w:t>153, Trebeľovce 985 31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4023B0" w:rsidRPr="004023B0">
        <w:rPr>
          <w:b/>
          <w:bCs/>
          <w:sz w:val="24"/>
          <w:szCs w:val="28"/>
        </w:rPr>
        <w:t>36018287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00CD" w14:textId="77777777" w:rsidR="007E68CA" w:rsidRDefault="007E68CA">
      <w:r>
        <w:separator/>
      </w:r>
    </w:p>
  </w:endnote>
  <w:endnote w:type="continuationSeparator" w:id="0">
    <w:p w14:paraId="1B577530" w14:textId="77777777" w:rsidR="007E68CA" w:rsidRDefault="007E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51887" w14:textId="77777777" w:rsidR="007E68CA" w:rsidRDefault="007E68CA">
      <w:r>
        <w:separator/>
      </w:r>
    </w:p>
  </w:footnote>
  <w:footnote w:type="continuationSeparator" w:id="0">
    <w:p w14:paraId="2ABA5C00" w14:textId="77777777" w:rsidR="007E68CA" w:rsidRDefault="007E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023B0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10</cp:revision>
  <cp:lastPrinted>2022-07-09T12:53:00Z</cp:lastPrinted>
  <dcterms:created xsi:type="dcterms:W3CDTF">2023-10-02T06:41:00Z</dcterms:created>
  <dcterms:modified xsi:type="dcterms:W3CDTF">2024-06-02T14:56:00Z</dcterms:modified>
</cp:coreProperties>
</file>