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71E145E4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1B5A89" w:rsidRPr="00341E6F">
        <w:rPr>
          <w:rFonts w:ascii="Arial" w:hAnsi="Arial" w:cs="Arial"/>
        </w:rPr>
        <w:t>10/RRVO/2022-0</w:t>
      </w:r>
      <w:r w:rsidR="00341E6F" w:rsidRPr="00341E6F">
        <w:rPr>
          <w:rFonts w:ascii="Arial" w:hAnsi="Arial" w:cs="Arial"/>
        </w:rPr>
        <w:t>1</w:t>
      </w:r>
      <w:r w:rsidR="000E3A60">
        <w:rPr>
          <w:rFonts w:ascii="Arial" w:hAnsi="Arial" w:cs="Arial"/>
        </w:rPr>
        <w:t>3</w:t>
      </w:r>
      <w:r w:rsidRPr="00341E6F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</w:rPr>
        <w:t xml:space="preserve">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683BB740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C03F76">
        <w:rPr>
          <w:rFonts w:ascii="Arial" w:hAnsi="Arial" w:cs="Arial"/>
          <w:color w:val="auto"/>
          <w:sz w:val="22"/>
          <w:szCs w:val="22"/>
        </w:rPr>
        <w:t>,00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</w:t>
      </w:r>
      <w:r w:rsidR="00BD6E19">
        <w:rPr>
          <w:rFonts w:ascii="Arial" w:hAnsi="Arial" w:cs="Arial"/>
          <w:color w:val="auto"/>
          <w:sz w:val="22"/>
          <w:szCs w:val="22"/>
        </w:rPr>
        <w:t xml:space="preserve"> ±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10 % </w:t>
      </w:r>
      <w:r w:rsidR="00BD6E19">
        <w:rPr>
          <w:rFonts w:ascii="Arial" w:hAnsi="Arial" w:cs="Arial"/>
          <w:color w:val="auto"/>
          <w:sz w:val="22"/>
          <w:szCs w:val="22"/>
        </w:rPr>
        <w:t xml:space="preserve">za všetky odberné miesta ako jeden sumár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62FD0D4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</w:t>
      </w:r>
      <w:r w:rsidR="000E3A60">
        <w:rPr>
          <w:rFonts w:ascii="Arial" w:hAnsi="Arial" w:cs="Arial"/>
          <w:color w:val="auto"/>
          <w:sz w:val="22"/>
          <w:szCs w:val="22"/>
        </w:rPr>
        <w:t>5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3E45CBA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</w:t>
      </w:r>
      <w:r w:rsidR="000E3A60">
        <w:rPr>
          <w:rFonts w:ascii="Arial" w:hAnsi="Arial" w:cs="Arial"/>
          <w:color w:val="auto"/>
          <w:sz w:val="22"/>
          <w:szCs w:val="22"/>
        </w:rPr>
        <w:t>3</w:t>
      </w:r>
      <w:r w:rsidR="00345375">
        <w:rPr>
          <w:rFonts w:ascii="Arial" w:hAnsi="Arial" w:cs="Arial"/>
          <w:color w:val="auto"/>
          <w:sz w:val="22"/>
          <w:szCs w:val="22"/>
        </w:rPr>
        <w:t>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C03F76">
        <w:rPr>
          <w:rFonts w:ascii="Arial" w:hAnsi="Arial" w:cs="Arial"/>
          <w:color w:val="auto"/>
          <w:sz w:val="22"/>
          <w:szCs w:val="22"/>
        </w:rPr>
        <w:t>,00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</w:t>
      </w:r>
      <w:r w:rsidR="0051142F">
        <w:rPr>
          <w:rFonts w:ascii="Arial" w:hAnsi="Arial" w:cs="Arial"/>
          <w:color w:val="auto"/>
          <w:sz w:val="22"/>
          <w:szCs w:val="22"/>
        </w:rPr>
        <w:t xml:space="preserve">± </w:t>
      </w:r>
      <w:r w:rsidR="00E1050A">
        <w:rPr>
          <w:rFonts w:ascii="Arial" w:hAnsi="Arial" w:cs="Arial"/>
          <w:color w:val="auto"/>
          <w:sz w:val="22"/>
          <w:szCs w:val="22"/>
        </w:rPr>
        <w:t>10%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0FDD6E05" w14:textId="258A194D" w:rsidR="00E31781" w:rsidRDefault="00A63A6E" w:rsidP="00716986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DF9543F" w14:textId="2121D459" w:rsidR="00716986" w:rsidRDefault="00716986" w:rsidP="00716986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9DC1D8B" w14:textId="27CC076A" w:rsidR="00716986" w:rsidRPr="00257054" w:rsidRDefault="00716986" w:rsidP="00716986">
      <w:pPr>
        <w:pStyle w:val="Default"/>
        <w:spacing w:after="133"/>
        <w:ind w:left="426"/>
        <w:jc w:val="center"/>
        <w:rPr>
          <w:rFonts w:ascii="Arial" w:hAnsi="Arial" w:cs="Arial"/>
          <w:color w:val="FF0000"/>
        </w:rPr>
      </w:pPr>
      <w:r w:rsidRPr="00257054">
        <w:rPr>
          <w:rFonts w:ascii="Arial" w:hAnsi="Arial" w:cs="Arial"/>
          <w:color w:val="FF0000"/>
          <w:highlight w:val="yellow"/>
        </w:rPr>
        <w:t>! Doplní dodávateľ podľa príslušných sadzieb pre daný rok ak sú známe. V prípade, ak dané sadzby nie sú známe budú doplnené dodatkom zmluvy.</w:t>
      </w:r>
      <w:r w:rsidRPr="00257054">
        <w:rPr>
          <w:rFonts w:ascii="Arial" w:hAnsi="Arial" w:cs="Arial"/>
          <w:color w:val="FF0000"/>
        </w:rPr>
        <w:t>!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3F5BF148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Cena celkom (</w:t>
      </w:r>
      <w:r w:rsidRPr="00A74FF2">
        <w:rPr>
          <w:rFonts w:ascii="Arial" w:hAnsi="Arial" w:cs="Arial"/>
          <w:color w:val="auto"/>
          <w:sz w:val="22"/>
          <w:szCs w:val="22"/>
          <w:highlight w:val="yellow"/>
        </w:rPr>
        <w:t>bod 4.1</w:t>
      </w:r>
      <w:r w:rsidR="00A74FF2" w:rsidRPr="00A74FF2">
        <w:rPr>
          <w:rFonts w:ascii="Arial" w:hAnsi="Arial" w:cs="Arial"/>
          <w:color w:val="auto"/>
          <w:sz w:val="22"/>
          <w:szCs w:val="22"/>
          <w:highlight w:val="yellow"/>
        </w:rPr>
        <w:t xml:space="preserve"> – </w:t>
      </w:r>
      <w:r w:rsidR="00A74FF2" w:rsidRPr="00A74FF2">
        <w:rPr>
          <w:rFonts w:ascii="Arial" w:hAnsi="Arial" w:cs="Arial"/>
          <w:color w:val="FF0000"/>
          <w:sz w:val="22"/>
          <w:szCs w:val="22"/>
          <w:highlight w:val="yellow"/>
        </w:rPr>
        <w:t>bez distribučných poplatkov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69AD059E" w:rsidR="00A63A6E" w:rsidRPr="00E04F02" w:rsidRDefault="00A63A6E" w:rsidP="000E3A60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0E3A60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základe splátkového kalendára vypracovaného Dodávateľom, ktorý je prílohou č. </w:t>
      </w:r>
      <w:r w:rsidR="00345375" w:rsidRPr="000E3A60">
        <w:rPr>
          <w:rFonts w:ascii="Arial" w:hAnsi="Arial" w:cs="Arial"/>
          <w:color w:val="auto"/>
          <w:sz w:val="22"/>
          <w:szCs w:val="22"/>
        </w:rPr>
        <w:t>2</w:t>
      </w:r>
      <w:r w:rsidRPr="000E3A60">
        <w:rPr>
          <w:rFonts w:ascii="Arial" w:hAnsi="Arial" w:cs="Arial"/>
          <w:color w:val="auto"/>
          <w:sz w:val="22"/>
          <w:szCs w:val="22"/>
        </w:rPr>
        <w:t xml:space="preserve"> tejto zmluvy. Vyúčtovanie skutočnej spotreby zemného plynu pre</w:t>
      </w:r>
      <w:r w:rsidR="001B015D" w:rsidRPr="000E3A60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0E3A60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0E3A60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0E3A60">
        <w:rPr>
          <w:rFonts w:ascii="Arial" w:hAnsi="Arial" w:cs="Arial"/>
          <w:color w:val="auto"/>
          <w:sz w:val="22"/>
          <w:szCs w:val="22"/>
        </w:rPr>
        <w:t>, bude raz mesačne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6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1D685EC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</w:t>
      </w:r>
      <w:r w:rsidR="000E3A60">
        <w:rPr>
          <w:rFonts w:ascii="Arial" w:hAnsi="Arial" w:cs="Arial"/>
          <w:color w:val="auto"/>
          <w:sz w:val="22"/>
          <w:szCs w:val="22"/>
        </w:rPr>
        <w:t>6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D704EB4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8884866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0BB3D217" w:rsidR="00A63A6E" w:rsidRPr="005565D2" w:rsidRDefault="002246EF" w:rsidP="00A63A6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3A6E" w:rsidRPr="005565D2">
        <w:rPr>
          <w:rFonts w:ascii="Arial" w:hAnsi="Arial" w:cs="Arial"/>
        </w:rPr>
        <w:t xml:space="preserve">Za Odberateľa: </w:t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  <w:t>Za Dodávateľa:</w:t>
      </w:r>
    </w:p>
    <w:p w14:paraId="68F780CD" w14:textId="2217FDB3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>doc. Ing. Jozef Habánik, PhD.</w:t>
      </w:r>
    </w:p>
    <w:p w14:paraId="7A151F6C" w14:textId="4F1896E4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 xml:space="preserve">          rektor TnUAD</w:t>
      </w:r>
    </w:p>
    <w:p w14:paraId="2BBAECEE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291640">
    <w:abstractNumId w:val="4"/>
  </w:num>
  <w:num w:numId="2" w16cid:durableId="154341358">
    <w:abstractNumId w:val="0"/>
  </w:num>
  <w:num w:numId="3" w16cid:durableId="1710569757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 w16cid:durableId="591816361">
    <w:abstractNumId w:val="7"/>
  </w:num>
  <w:num w:numId="5" w16cid:durableId="1615095175">
    <w:abstractNumId w:val="5"/>
  </w:num>
  <w:num w:numId="6" w16cid:durableId="963929029">
    <w:abstractNumId w:val="6"/>
  </w:num>
  <w:num w:numId="7" w16cid:durableId="1685010248">
    <w:abstractNumId w:val="3"/>
  </w:num>
  <w:num w:numId="8" w16cid:durableId="86798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6E"/>
    <w:rsid w:val="00032273"/>
    <w:rsid w:val="00051A58"/>
    <w:rsid w:val="00077AFA"/>
    <w:rsid w:val="000E3A60"/>
    <w:rsid w:val="000E6A6D"/>
    <w:rsid w:val="001B015D"/>
    <w:rsid w:val="001B4048"/>
    <w:rsid w:val="001B5A89"/>
    <w:rsid w:val="002246EF"/>
    <w:rsid w:val="00257054"/>
    <w:rsid w:val="00287A96"/>
    <w:rsid w:val="002923E0"/>
    <w:rsid w:val="00341E6F"/>
    <w:rsid w:val="00345375"/>
    <w:rsid w:val="00345510"/>
    <w:rsid w:val="00356E87"/>
    <w:rsid w:val="00371CF6"/>
    <w:rsid w:val="003C7406"/>
    <w:rsid w:val="004F78CA"/>
    <w:rsid w:val="0051142F"/>
    <w:rsid w:val="0054286C"/>
    <w:rsid w:val="005D2601"/>
    <w:rsid w:val="006A0BF7"/>
    <w:rsid w:val="006F13AD"/>
    <w:rsid w:val="0070001E"/>
    <w:rsid w:val="00716986"/>
    <w:rsid w:val="00751CE2"/>
    <w:rsid w:val="007627A6"/>
    <w:rsid w:val="00956B34"/>
    <w:rsid w:val="009C0903"/>
    <w:rsid w:val="009D4CDA"/>
    <w:rsid w:val="00A02BDC"/>
    <w:rsid w:val="00A63A6E"/>
    <w:rsid w:val="00A74FF2"/>
    <w:rsid w:val="00A81B1B"/>
    <w:rsid w:val="00AC2A3F"/>
    <w:rsid w:val="00B63D7E"/>
    <w:rsid w:val="00B71FF3"/>
    <w:rsid w:val="00BD6E19"/>
    <w:rsid w:val="00C03F76"/>
    <w:rsid w:val="00C257E7"/>
    <w:rsid w:val="00C62DE7"/>
    <w:rsid w:val="00C73724"/>
    <w:rsid w:val="00CD6D90"/>
    <w:rsid w:val="00D14423"/>
    <w:rsid w:val="00D3050B"/>
    <w:rsid w:val="00D46DA3"/>
    <w:rsid w:val="00DE36C5"/>
    <w:rsid w:val="00DE4232"/>
    <w:rsid w:val="00E04F02"/>
    <w:rsid w:val="00E1050A"/>
    <w:rsid w:val="00E31781"/>
    <w:rsid w:val="00E34A0D"/>
    <w:rsid w:val="00EA5AC7"/>
    <w:rsid w:val="00EB77AC"/>
    <w:rsid w:val="00F02707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4</cp:revision>
  <cp:lastPrinted>2023-03-20T12:46:00Z</cp:lastPrinted>
  <dcterms:created xsi:type="dcterms:W3CDTF">2024-05-31T10:37:00Z</dcterms:created>
  <dcterms:modified xsi:type="dcterms:W3CDTF">2024-06-03T10:08:00Z</dcterms:modified>
</cp:coreProperties>
</file>