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5101F28E" w14:textId="77777777" w:rsidR="00B95C0C" w:rsidRPr="00E800B9" w:rsidRDefault="00B95C0C" w:rsidP="00B95C0C">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52C32486"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b/>
          <w:sz w:val="20"/>
          <w:szCs w:val="20"/>
        </w:rPr>
        <w:t>Východoslovenský ústav srd</w:t>
      </w:r>
      <w:r>
        <w:rPr>
          <w:rFonts w:ascii="Times New Roman" w:hAnsi="Times New Roman" w:cs="Times New Roman"/>
          <w:b/>
          <w:sz w:val="20"/>
          <w:szCs w:val="20"/>
        </w:rPr>
        <w:t>cových a cievnych chorôb, a. s.</w:t>
      </w:r>
    </w:p>
    <w:p w14:paraId="235D1AF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Ondavská 8, 040 01 Košice</w:t>
      </w:r>
      <w:r w:rsidRPr="00E800B9">
        <w:rPr>
          <w:rFonts w:ascii="Times New Roman" w:hAnsi="Times New Roman" w:cs="Times New Roman"/>
          <w:sz w:val="20"/>
          <w:szCs w:val="20"/>
        </w:rPr>
        <w:tab/>
        <w:t xml:space="preserve"> </w:t>
      </w:r>
    </w:p>
    <w:p w14:paraId="45DF8FD4" w14:textId="77777777" w:rsidR="00B95C0C" w:rsidRPr="00847EB1"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 xml:space="preserve">MUDr. Štefan </w:t>
      </w:r>
      <w:proofErr w:type="spellStart"/>
      <w:r w:rsidRPr="00847EB1">
        <w:rPr>
          <w:rFonts w:ascii="Times New Roman" w:hAnsi="Times New Roman" w:cs="Times New Roman"/>
          <w:sz w:val="20"/>
          <w:szCs w:val="20"/>
        </w:rPr>
        <w:t>Lukačín</w:t>
      </w:r>
      <w:proofErr w:type="spellEnd"/>
      <w:r w:rsidRPr="00847EB1">
        <w:rPr>
          <w:rFonts w:ascii="Times New Roman" w:hAnsi="Times New Roman" w:cs="Times New Roman"/>
          <w:sz w:val="20"/>
          <w:szCs w:val="20"/>
        </w:rPr>
        <w:t>, PhD., predseda predstavenstva</w:t>
      </w:r>
    </w:p>
    <w:p w14:paraId="2C9D90A8" w14:textId="77777777" w:rsidR="00B95C0C" w:rsidRPr="00847EB1"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 xml:space="preserve">doc. MUDr. Martin </w:t>
      </w:r>
      <w:proofErr w:type="spellStart"/>
      <w:r w:rsidRPr="00847EB1">
        <w:rPr>
          <w:rFonts w:ascii="Times New Roman" w:hAnsi="Times New Roman" w:cs="Times New Roman"/>
          <w:sz w:val="20"/>
          <w:szCs w:val="20"/>
        </w:rPr>
        <w:t>Studenčan</w:t>
      </w:r>
      <w:proofErr w:type="spellEnd"/>
      <w:r w:rsidRPr="00847EB1">
        <w:rPr>
          <w:rFonts w:ascii="Times New Roman" w:hAnsi="Times New Roman" w:cs="Times New Roman"/>
          <w:sz w:val="20"/>
          <w:szCs w:val="20"/>
        </w:rPr>
        <w:t xml:space="preserve">, </w:t>
      </w:r>
      <w:proofErr w:type="spellStart"/>
      <w:r w:rsidRPr="00847EB1">
        <w:rPr>
          <w:rFonts w:ascii="Times New Roman" w:hAnsi="Times New Roman" w:cs="Times New Roman"/>
          <w:sz w:val="20"/>
          <w:szCs w:val="20"/>
        </w:rPr>
        <w:t>PhD.,FESC</w:t>
      </w:r>
      <w:proofErr w:type="spellEnd"/>
      <w:r w:rsidRPr="00847EB1">
        <w:rPr>
          <w:rFonts w:ascii="Times New Roman" w:hAnsi="Times New Roman" w:cs="Times New Roman"/>
          <w:sz w:val="20"/>
          <w:szCs w:val="20"/>
        </w:rPr>
        <w:t>, podpredseda predstavenstva</w:t>
      </w:r>
    </w:p>
    <w:p w14:paraId="33C3524D" w14:textId="77777777" w:rsidR="00B95C0C" w:rsidRDefault="00B95C0C" w:rsidP="00B95C0C">
      <w:pPr>
        <w:spacing w:after="0" w:line="240" w:lineRule="auto"/>
        <w:ind w:left="2124" w:firstLine="708"/>
        <w:rPr>
          <w:rFonts w:ascii="Times New Roman" w:hAnsi="Times New Roman" w:cs="Times New Roman"/>
          <w:sz w:val="20"/>
          <w:szCs w:val="20"/>
        </w:rPr>
      </w:pPr>
      <w:r w:rsidRPr="00847EB1">
        <w:rPr>
          <w:rFonts w:ascii="Times New Roman" w:hAnsi="Times New Roman" w:cs="Times New Roman"/>
          <w:sz w:val="20"/>
          <w:szCs w:val="20"/>
        </w:rPr>
        <w:t>MUDr. Peter Šafár, člen predstavenstva</w:t>
      </w:r>
    </w:p>
    <w:p w14:paraId="67392292"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847EB1">
        <w:rPr>
          <w:rFonts w:ascii="Times New Roman" w:hAnsi="Times New Roman" w:cs="Times New Roman"/>
          <w:sz w:val="20"/>
          <w:szCs w:val="20"/>
        </w:rPr>
        <w:t>36</w:t>
      </w:r>
      <w:r>
        <w:rPr>
          <w:rFonts w:ascii="Times New Roman" w:hAnsi="Times New Roman" w:cs="Times New Roman"/>
          <w:sz w:val="20"/>
          <w:szCs w:val="20"/>
        </w:rPr>
        <w:t> </w:t>
      </w:r>
      <w:r w:rsidRPr="00847EB1">
        <w:rPr>
          <w:rFonts w:ascii="Times New Roman" w:hAnsi="Times New Roman" w:cs="Times New Roman"/>
          <w:sz w:val="20"/>
          <w:szCs w:val="20"/>
        </w:rPr>
        <w:t>601</w:t>
      </w:r>
      <w:r>
        <w:rPr>
          <w:rFonts w:ascii="Times New Roman" w:hAnsi="Times New Roman" w:cs="Times New Roman"/>
          <w:sz w:val="20"/>
          <w:szCs w:val="20"/>
        </w:rPr>
        <w:t xml:space="preserve"> </w:t>
      </w:r>
      <w:r w:rsidRPr="00847EB1">
        <w:rPr>
          <w:rFonts w:ascii="Times New Roman" w:hAnsi="Times New Roman" w:cs="Times New Roman"/>
          <w:sz w:val="20"/>
          <w:szCs w:val="20"/>
        </w:rPr>
        <w:t>284</w:t>
      </w:r>
    </w:p>
    <w:p w14:paraId="15F029A3" w14:textId="77777777" w:rsidR="00B95C0C"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2022108704</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397A0996" w:rsidR="00093ABA" w:rsidRPr="00E800B9" w:rsidRDefault="00B95C0C" w:rsidP="00B95C0C">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47EB1">
        <w:rPr>
          <w:rFonts w:ascii="Times New Roman" w:hAnsi="Times New Roman" w:cs="Times New Roman"/>
          <w:sz w:val="20"/>
          <w:szCs w:val="20"/>
        </w:rPr>
        <w:t>SK2022108704</w:t>
      </w:r>
      <w:r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proofErr w:type="spellStart"/>
      <w:r w:rsidR="009B45A4" w:rsidRPr="00A12790">
        <w:rPr>
          <w:rFonts w:ascii="Times New Roman" w:eastAsia="Times New Roman" w:hAnsi="Times New Roman" w:cs="Times New Roman"/>
          <w:sz w:val="20"/>
          <w:szCs w:val="20"/>
        </w:rPr>
        <w:t>angiografický</w:t>
      </w:r>
      <w:proofErr w:type="spellEnd"/>
      <w:r w:rsidR="009B45A4" w:rsidRPr="00A12790">
        <w:rPr>
          <w:rFonts w:ascii="Times New Roman" w:eastAsia="Times New Roman" w:hAnsi="Times New Roman" w:cs="Times New Roman"/>
          <w:sz w:val="20"/>
          <w:szCs w:val="20"/>
        </w:rPr>
        <w:t xml:space="preserve">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 xml:space="preserve">3_Digitalizácia v </w:t>
      </w:r>
      <w:r w:rsidR="0030510E" w:rsidRPr="009B45A4">
        <w:rPr>
          <w:rFonts w:ascii="Times New Roman" w:hAnsi="Times New Roman" w:cs="Times New Roman"/>
          <w:sz w:val="20"/>
          <w:szCs w:val="20"/>
        </w:rPr>
        <w:lastRenderedPageBreak/>
        <w:t>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 xml:space="preserve">Navigačný systém pre liečbu </w:t>
      </w:r>
      <w:proofErr w:type="spellStart"/>
      <w:r w:rsidR="0039094C" w:rsidRPr="00A12790">
        <w:rPr>
          <w:rFonts w:ascii="Times New Roman" w:hAnsi="Times New Roman" w:cs="Times New Roman"/>
          <w:sz w:val="20"/>
          <w:szCs w:val="20"/>
        </w:rPr>
        <w:t>fibrilácie</w:t>
      </w:r>
      <w:proofErr w:type="spellEnd"/>
      <w:r w:rsidR="0039094C" w:rsidRPr="00A12790">
        <w:rPr>
          <w:rFonts w:ascii="Times New Roman" w:hAnsi="Times New Roman" w:cs="Times New Roman"/>
          <w:sz w:val="20"/>
          <w:szCs w:val="20"/>
        </w:rPr>
        <w:t xml:space="preserv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7954A966"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proofErr w:type="spellStart"/>
      <w:r w:rsidR="00870C73" w:rsidRPr="00BA52B5">
        <w:rPr>
          <w:rFonts w:ascii="Times New Roman" w:eastAsia="Times New Roman" w:hAnsi="Times New Roman" w:cs="Times New Roman"/>
          <w:sz w:val="20"/>
          <w:szCs w:val="20"/>
        </w:rPr>
        <w:t>angiografický</w:t>
      </w:r>
      <w:proofErr w:type="spellEnd"/>
      <w:r w:rsidR="00870C73" w:rsidRPr="00BA52B5">
        <w:rPr>
          <w:rFonts w:ascii="Times New Roman" w:eastAsia="Times New Roman" w:hAnsi="Times New Roman" w:cs="Times New Roman"/>
          <w:sz w:val="20"/>
          <w:szCs w:val="20"/>
        </w:rPr>
        <w:t xml:space="preserve">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3C6101">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3C6101">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3C6101">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 xml:space="preserve">o ochrane </w:t>
      </w:r>
      <w:r w:rsidR="00CB6067" w:rsidRPr="00E800B9">
        <w:rPr>
          <w:rFonts w:ascii="Times New Roman" w:hAnsi="Times New Roman" w:cs="Times New Roman"/>
          <w:bCs/>
          <w:sz w:val="20"/>
          <w:szCs w:val="20"/>
        </w:rPr>
        <w:lastRenderedPageBreak/>
        <w:t>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74ED8BD4"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w:t>
      </w:r>
      <w:r w:rsidR="00121EB5">
        <w:rPr>
          <w:rFonts w:ascii="Times New Roman" w:hAnsi="Times New Roman" w:cs="Times New Roman"/>
          <w:sz w:val="20"/>
          <w:szCs w:val="20"/>
        </w:rPr>
        <w:t>ej</w:t>
      </w:r>
      <w:r w:rsidRPr="00E800B9">
        <w:rPr>
          <w:rFonts w:ascii="Times New Roman" w:hAnsi="Times New Roman" w:cs="Times New Roman"/>
          <w:sz w:val="20"/>
          <w:szCs w:val="20"/>
        </w:rPr>
        <w:t xml:space="preserve"> </w:t>
      </w:r>
      <w:r w:rsidR="00121EB5">
        <w:rPr>
          <w:rFonts w:ascii="Times New Roman" w:hAnsi="Times New Roman" w:cs="Times New Roman"/>
          <w:sz w:val="20"/>
          <w:szCs w:val="20"/>
        </w:rPr>
        <w:t>údržby</w:t>
      </w:r>
      <w:r w:rsidR="00121EB5" w:rsidRPr="00E800B9">
        <w:rPr>
          <w:rFonts w:ascii="Times New Roman" w:hAnsi="Times New Roman" w:cs="Times New Roman"/>
          <w:sz w:val="20"/>
          <w:szCs w:val="20"/>
        </w:rPr>
        <w:t xml:space="preserve"> </w:t>
      </w:r>
      <w:r w:rsidRPr="00E800B9">
        <w:rPr>
          <w:rFonts w:ascii="Times New Roman" w:hAnsi="Times New Roman" w:cs="Times New Roman"/>
          <w:sz w:val="20"/>
          <w:szCs w:val="20"/>
        </w:rPr>
        <w:t>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5DB84293"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8822C8">
        <w:rPr>
          <w:rFonts w:ascii="Times New Roman" w:hAnsi="Times New Roman" w:cs="Times New Roman"/>
          <w:sz w:val="20"/>
          <w:szCs w:val="20"/>
        </w:rPr>
        <w:t>sto</w:t>
      </w:r>
      <w:r w:rsidR="00315639">
        <w:rPr>
          <w:rFonts w:ascii="Times New Roman" w:hAnsi="Times New Roman" w:cs="Times New Roman"/>
          <w:sz w:val="20"/>
          <w:szCs w:val="20"/>
        </w:rPr>
        <w:t xml:space="preserve"> (</w:t>
      </w:r>
      <w:r w:rsidR="008822C8">
        <w:rPr>
          <w:rFonts w:ascii="Times New Roman" w:hAnsi="Times New Roman" w:cs="Times New Roman"/>
          <w:sz w:val="20"/>
          <w:szCs w:val="20"/>
        </w:rPr>
        <w:t>100</w:t>
      </w:r>
      <w:bookmarkStart w:id="0" w:name="_GoBack"/>
      <w:bookmarkEnd w:id="0"/>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w:t>
      </w:r>
      <w:r w:rsidR="00951DD1">
        <w:rPr>
          <w:rFonts w:ascii="Times New Roman" w:hAnsi="Times New Roman" w:cs="Times New Roman"/>
          <w:sz w:val="20"/>
          <w:szCs w:val="20"/>
        </w:rPr>
        <w:lastRenderedPageBreak/>
        <w:t xml:space="preserve">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w:t>
      </w:r>
      <w:proofErr w:type="spellStart"/>
      <w:r w:rsidR="00AD2776">
        <w:rPr>
          <w:rFonts w:ascii="Times New Roman" w:hAnsi="Times New Roman" w:cs="Times New Roman"/>
          <w:sz w:val="20"/>
          <w:szCs w:val="20"/>
        </w:rPr>
        <w:t>závad</w:t>
      </w:r>
      <w:proofErr w:type="spellEnd"/>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FF3B53A" w:rsidR="00651962" w:rsidRPr="002362E6" w:rsidRDefault="00651962"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040BFA">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2362E6">
        <w:rPr>
          <w:rFonts w:ascii="Times New Roman" w:eastAsia="Times New Roman" w:hAnsi="Times New Roman" w:cs="Times New Roman"/>
          <w:sz w:val="20"/>
          <w:szCs w:val="20"/>
          <w:lang w:eastAsia="sk-SK"/>
        </w:rPr>
        <w:t>Príloh</w:t>
      </w:r>
      <w:r w:rsidR="00040BFA">
        <w:rPr>
          <w:rFonts w:ascii="Times New Roman" w:eastAsia="Times New Roman" w:hAnsi="Times New Roman" w:cs="Times New Roman"/>
          <w:sz w:val="20"/>
          <w:szCs w:val="20"/>
          <w:lang w:eastAsia="sk-SK"/>
        </w:rPr>
        <w:t>e</w:t>
      </w:r>
      <w:r w:rsidR="002362E6">
        <w:rPr>
          <w:rFonts w:ascii="Times New Roman" w:eastAsia="Times New Roman" w:hAnsi="Times New Roman" w:cs="Times New Roman"/>
          <w:sz w:val="20"/>
          <w:szCs w:val="20"/>
          <w:lang w:eastAsia="sk-SK"/>
        </w:rPr>
        <w:t xml:space="preserve"> č. 3: štruktúrovaný rozpočet ceny</w:t>
      </w:r>
      <w:r w:rsidR="00572E7F" w:rsidRPr="002362E6">
        <w:rPr>
          <w:rFonts w:ascii="Times New Roman" w:eastAsia="Times New Roman" w:hAnsi="Times New Roman" w:cs="Times New Roman"/>
          <w:sz w:val="20"/>
          <w:szCs w:val="20"/>
          <w:lang w:eastAsia="sk-SK"/>
        </w:rPr>
        <w:t>,</w:t>
      </w:r>
      <w:r w:rsidR="00637490" w:rsidRPr="002362E6">
        <w:rPr>
          <w:rFonts w:ascii="Times New Roman" w:eastAsia="Times New Roman" w:hAnsi="Times New Roman" w:cs="Times New Roman"/>
          <w:sz w:val="20"/>
          <w:szCs w:val="20"/>
          <w:lang w:eastAsia="sk-SK"/>
        </w:rPr>
        <w:t xml:space="preserve"> </w:t>
      </w:r>
      <w:r w:rsidR="00105DCE" w:rsidRPr="002362E6">
        <w:rPr>
          <w:rFonts w:ascii="Times New Roman" w:hAnsi="Times New Roman" w:cs="Times New Roman"/>
          <w:bCs/>
          <w:sz w:val="20"/>
          <w:szCs w:val="20"/>
        </w:rPr>
        <w:t>ktorý</w:t>
      </w:r>
      <w:r w:rsidR="002362E6">
        <w:rPr>
          <w:rFonts w:ascii="Times New Roman" w:hAnsi="Times New Roman" w:cs="Times New Roman"/>
          <w:bCs/>
          <w:sz w:val="20"/>
          <w:szCs w:val="20"/>
        </w:rPr>
        <w:t xml:space="preserve"> tvorí </w:t>
      </w:r>
      <w:r w:rsidRPr="002362E6">
        <w:rPr>
          <w:rFonts w:ascii="Times New Roman" w:hAnsi="Times New Roman" w:cs="Times New Roman"/>
          <w:bCs/>
          <w:sz w:val="20"/>
          <w:szCs w:val="20"/>
        </w:rPr>
        <w:t>neoddeliteľnú</w:t>
      </w:r>
      <w:r w:rsidR="007F286C" w:rsidRPr="002362E6">
        <w:rPr>
          <w:rFonts w:ascii="Times New Roman" w:hAnsi="Times New Roman" w:cs="Times New Roman"/>
          <w:bCs/>
          <w:sz w:val="20"/>
          <w:szCs w:val="20"/>
        </w:rPr>
        <w:t xml:space="preserve"> </w:t>
      </w:r>
      <w:r w:rsidRPr="002362E6">
        <w:rPr>
          <w:rFonts w:ascii="Times New Roman" w:hAnsi="Times New Roman" w:cs="Times New Roman"/>
          <w:bCs/>
          <w:sz w:val="20"/>
          <w:szCs w:val="20"/>
        </w:rPr>
        <w:t>súčasť tejto Zmluvy (ďalej len ,,Kúpna cena“)</w:t>
      </w:r>
      <w:r w:rsidR="00AD2776" w:rsidRPr="002362E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63105DE5" w:rsidR="00C54724" w:rsidRDefault="00040BF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w:t>
      </w:r>
      <w:r w:rsidR="004D3F93" w:rsidRPr="00E800B9">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05EF0E69"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40170C">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29EEBD58"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A26377">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 xml:space="preserve">redávajúci </w:t>
      </w:r>
      <w:r w:rsidRPr="00CB2719">
        <w:rPr>
          <w:rFonts w:ascii="Times New Roman" w:hAnsi="Times New Roman" w:cs="Times New Roman"/>
          <w:sz w:val="20"/>
          <w:szCs w:val="20"/>
        </w:rPr>
        <w:lastRenderedPageBreak/>
        <w:t>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7F09D8D4"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predmetu 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w:t>
      </w:r>
      <w:r w:rsidR="00DD3EC5" w:rsidRPr="00483820">
        <w:rPr>
          <w:rFonts w:ascii="Times New Roman" w:hAnsi="Times New Roman" w:cs="Times New Roman"/>
          <w:sz w:val="20"/>
          <w:szCs w:val="20"/>
        </w:rPr>
        <w:lastRenderedPageBreak/>
        <w:t>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lastRenderedPageBreak/>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77777777" w:rsidR="00CE3A4F" w:rsidRDefault="00CE3A4F"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365A8AB"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AC3317">
        <w:rPr>
          <w:rFonts w:ascii="Times New Roman" w:eastAsia="Times New Roman" w:hAnsi="Times New Roman" w:cs="Times New Roman"/>
          <w:sz w:val="20"/>
          <w:szCs w:val="20"/>
          <w:lang w:eastAsia="sk-SK"/>
        </w:rPr>
        <w:t xml:space="preserve"> </w:t>
      </w:r>
      <w:r w:rsidR="0040170C">
        <w:rPr>
          <w:rFonts w:ascii="Times New Roman" w:eastAsia="Times New Roman" w:hAnsi="Times New Roman" w:cs="Times New Roman"/>
          <w:sz w:val="20"/>
          <w:szCs w:val="20"/>
          <w:lang w:eastAsia="sk-SK"/>
        </w:rPr>
        <w:t>a vlastný návrh plnenia predmetu zákazky</w:t>
      </w:r>
    </w:p>
    <w:p w14:paraId="53153C56" w14:textId="4DBC4A10"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19CF9F1D" w14:textId="77777777" w:rsidR="002362E6" w:rsidRPr="00E800B9" w:rsidRDefault="002362E6" w:rsidP="002362E6">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4B7218A9" w14:textId="77777777" w:rsidR="002362E6" w:rsidRPr="00E800B9" w:rsidRDefault="002362E6"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p>
    <w:p w14:paraId="734D1257" w14:textId="77777777"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6EC58904" w14:textId="545709BD"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408FC168"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71827A72" w14:textId="3568D63B"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77EDBD17" w14:textId="1BB92CBD"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7846E624"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AC3317">
        <w:rPr>
          <w:rFonts w:ascii="Times New Roman" w:eastAsia="Times New Roman" w:hAnsi="Times New Roman" w:cs="Times New Roman"/>
          <w:b/>
          <w:sz w:val="20"/>
          <w:szCs w:val="20"/>
          <w:lang w:eastAsia="sk-SK"/>
        </w:rPr>
        <w:t xml:space="preserve"> A ŠTRUKTÚROVANÝ ROZPEČET CENY</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 xml:space="preserve">(nechodiace </w:t>
      </w:r>
      <w:proofErr w:type="gramStart"/>
      <w:r w:rsidRPr="00E800B9">
        <w:rPr>
          <w:rFonts w:ascii="Times New Roman" w:eastAsia="Calibri" w:hAnsi="Times New Roman" w:cs="Times New Roman"/>
          <w:sz w:val="20"/>
          <w:szCs w:val="20"/>
        </w:rPr>
        <w:t>sa</w:t>
      </w:r>
      <w:proofErr w:type="gramEnd"/>
      <w:r w:rsidRPr="00E800B9">
        <w:rPr>
          <w:rFonts w:ascii="Times New Roman" w:eastAsia="Calibri" w:hAnsi="Times New Roman" w:cs="Times New Roman"/>
          <w:sz w:val="20"/>
          <w:szCs w:val="20"/>
        </w:rPr>
        <w:t xml:space="preserve">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lastRenderedPageBreak/>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00FE4E5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3710AFFB" w14:textId="77777777" w:rsidR="002362E6" w:rsidRPr="00E800B9" w:rsidRDefault="002362E6" w:rsidP="002362E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3C0F7F" w14:textId="77777777" w:rsidR="002362E6" w:rsidRPr="00E800B9" w:rsidRDefault="002362E6" w:rsidP="002362E6">
      <w:pPr>
        <w:tabs>
          <w:tab w:val="left" w:pos="1004"/>
        </w:tabs>
        <w:rPr>
          <w:rFonts w:ascii="Times New Roman" w:eastAsia="Times New Roman" w:hAnsi="Times New Roman" w:cs="Times New Roman"/>
          <w:sz w:val="20"/>
          <w:szCs w:val="20"/>
          <w:lang w:eastAsia="sk-SK"/>
        </w:rPr>
      </w:pPr>
    </w:p>
    <w:p w14:paraId="192B3BE1" w14:textId="77777777" w:rsidR="002362E6" w:rsidRPr="00E800B9" w:rsidRDefault="002362E6" w:rsidP="002362E6">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ŠTRUKTÚROVANÝ ROZPEČET CENY</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77777777" w:rsidR="00E32806" w:rsidRPr="00E800B9" w:rsidRDefault="00E32806" w:rsidP="00E32806">
      <w:pPr>
        <w:tabs>
          <w:tab w:val="left" w:pos="1004"/>
        </w:tabs>
        <w:jc w:val="right"/>
        <w:rPr>
          <w:rFonts w:ascii="Times New Roman" w:eastAsia="Times New Roman" w:hAnsi="Times New Roman" w:cs="Times New Roman"/>
          <w:sz w:val="20"/>
          <w:szCs w:val="20"/>
          <w:lang w:eastAsia="sk-SK"/>
        </w:rPr>
      </w:pP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525DB" w14:textId="77777777" w:rsidR="0000462F" w:rsidRDefault="0000462F" w:rsidP="00B82C6D">
      <w:pPr>
        <w:spacing w:after="0" w:line="240" w:lineRule="auto"/>
      </w:pPr>
      <w:r>
        <w:separator/>
      </w:r>
    </w:p>
  </w:endnote>
  <w:endnote w:type="continuationSeparator" w:id="0">
    <w:p w14:paraId="538B690A" w14:textId="77777777" w:rsidR="0000462F" w:rsidRDefault="0000462F"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19F60826"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8822C8">
              <w:rPr>
                <w:rFonts w:ascii="Times New Roman" w:hAnsi="Times New Roman" w:cs="Times New Roman"/>
                <w:bCs/>
                <w:noProof/>
                <w:sz w:val="20"/>
                <w:szCs w:val="20"/>
              </w:rPr>
              <w:t>3</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8822C8">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420A2" w14:textId="77777777" w:rsidR="0000462F" w:rsidRDefault="0000462F" w:rsidP="00B82C6D">
      <w:pPr>
        <w:spacing w:after="0" w:line="240" w:lineRule="auto"/>
      </w:pPr>
      <w:r>
        <w:separator/>
      </w:r>
    </w:p>
  </w:footnote>
  <w:footnote w:type="continuationSeparator" w:id="0">
    <w:p w14:paraId="1F02EE89" w14:textId="77777777" w:rsidR="0000462F" w:rsidRDefault="0000462F"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4C65AFD1" w:rsidR="00A26377" w:rsidRPr="00465EC7" w:rsidRDefault="00A26377" w:rsidP="007F4005">
    <w:pPr>
      <w:pStyle w:val="Hlavika"/>
      <w:jc w:val="right"/>
      <w:rPr>
        <w:rFonts w:ascii="Times New Roman" w:hAnsi="Times New Roman" w:cs="Times New Roman"/>
        <w:sz w:val="20"/>
        <w:szCs w:val="20"/>
      </w:rPr>
    </w:pPr>
    <w:r w:rsidRPr="00465EC7">
      <w:rPr>
        <w:rFonts w:ascii="Times New Roman" w:hAnsi="Times New Roman" w:cs="Times New Roman"/>
        <w:sz w:val="20"/>
        <w:szCs w:val="20"/>
      </w:rPr>
      <w:t xml:space="preserve">Príloha č. </w:t>
    </w:r>
    <w:r w:rsidR="00F6474F">
      <w:rPr>
        <w:rFonts w:ascii="Times New Roman" w:hAnsi="Times New Roman" w:cs="Times New Roman"/>
        <w:sz w:val="20"/>
        <w:szCs w:val="20"/>
      </w:rPr>
      <w:t>2</w:t>
    </w:r>
    <w:r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0462F"/>
    <w:rsid w:val="0001540D"/>
    <w:rsid w:val="00017466"/>
    <w:rsid w:val="00021DBF"/>
    <w:rsid w:val="000264E3"/>
    <w:rsid w:val="00031F30"/>
    <w:rsid w:val="00033921"/>
    <w:rsid w:val="00035B30"/>
    <w:rsid w:val="00040BFA"/>
    <w:rsid w:val="00044F19"/>
    <w:rsid w:val="00054536"/>
    <w:rsid w:val="00083BDA"/>
    <w:rsid w:val="00085145"/>
    <w:rsid w:val="000863A9"/>
    <w:rsid w:val="000916DA"/>
    <w:rsid w:val="00093ABA"/>
    <w:rsid w:val="000A6F37"/>
    <w:rsid w:val="000C409E"/>
    <w:rsid w:val="000E0990"/>
    <w:rsid w:val="00105DCE"/>
    <w:rsid w:val="00111494"/>
    <w:rsid w:val="00121EB5"/>
    <w:rsid w:val="00125F1F"/>
    <w:rsid w:val="001276F8"/>
    <w:rsid w:val="001377D4"/>
    <w:rsid w:val="00147822"/>
    <w:rsid w:val="001615CE"/>
    <w:rsid w:val="001841F6"/>
    <w:rsid w:val="001A0DA1"/>
    <w:rsid w:val="001A2B65"/>
    <w:rsid w:val="001A627A"/>
    <w:rsid w:val="001A7A33"/>
    <w:rsid w:val="001C6DE5"/>
    <w:rsid w:val="001C72AB"/>
    <w:rsid w:val="001D06BA"/>
    <w:rsid w:val="001D102B"/>
    <w:rsid w:val="002271C9"/>
    <w:rsid w:val="002362E6"/>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510E"/>
    <w:rsid w:val="00307A01"/>
    <w:rsid w:val="00312901"/>
    <w:rsid w:val="00315639"/>
    <w:rsid w:val="003158E1"/>
    <w:rsid w:val="00315CFC"/>
    <w:rsid w:val="003501EB"/>
    <w:rsid w:val="0036017B"/>
    <w:rsid w:val="00362F44"/>
    <w:rsid w:val="00365E40"/>
    <w:rsid w:val="00374078"/>
    <w:rsid w:val="003767DD"/>
    <w:rsid w:val="00380665"/>
    <w:rsid w:val="0038123D"/>
    <w:rsid w:val="0039094C"/>
    <w:rsid w:val="003A0A5B"/>
    <w:rsid w:val="003B0201"/>
    <w:rsid w:val="003B2013"/>
    <w:rsid w:val="003C2BAE"/>
    <w:rsid w:val="003C56F2"/>
    <w:rsid w:val="003C6101"/>
    <w:rsid w:val="003D622F"/>
    <w:rsid w:val="003E336C"/>
    <w:rsid w:val="003E7989"/>
    <w:rsid w:val="0040170C"/>
    <w:rsid w:val="00407742"/>
    <w:rsid w:val="0042725D"/>
    <w:rsid w:val="00457381"/>
    <w:rsid w:val="00465582"/>
    <w:rsid w:val="00465EC7"/>
    <w:rsid w:val="004711A1"/>
    <w:rsid w:val="00471709"/>
    <w:rsid w:val="00474B09"/>
    <w:rsid w:val="004772DC"/>
    <w:rsid w:val="00477AF3"/>
    <w:rsid w:val="00483820"/>
    <w:rsid w:val="004930B6"/>
    <w:rsid w:val="004A3D1F"/>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72E7F"/>
    <w:rsid w:val="00577C3B"/>
    <w:rsid w:val="00584752"/>
    <w:rsid w:val="00584828"/>
    <w:rsid w:val="00591495"/>
    <w:rsid w:val="00593CFB"/>
    <w:rsid w:val="00595325"/>
    <w:rsid w:val="005B4747"/>
    <w:rsid w:val="005C24F0"/>
    <w:rsid w:val="005C2671"/>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16077"/>
    <w:rsid w:val="00723276"/>
    <w:rsid w:val="0072480F"/>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73E8"/>
    <w:rsid w:val="008376C4"/>
    <w:rsid w:val="00843D90"/>
    <w:rsid w:val="00847B27"/>
    <w:rsid w:val="00870C73"/>
    <w:rsid w:val="0087239D"/>
    <w:rsid w:val="0087679C"/>
    <w:rsid w:val="008822C8"/>
    <w:rsid w:val="00885231"/>
    <w:rsid w:val="00894B9F"/>
    <w:rsid w:val="00896880"/>
    <w:rsid w:val="008A2FEF"/>
    <w:rsid w:val="008A77DC"/>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95C0C"/>
    <w:rsid w:val="00BA52B5"/>
    <w:rsid w:val="00BB130A"/>
    <w:rsid w:val="00BB3F2E"/>
    <w:rsid w:val="00BC706F"/>
    <w:rsid w:val="00BE5823"/>
    <w:rsid w:val="00BF0846"/>
    <w:rsid w:val="00BF1EF8"/>
    <w:rsid w:val="00BF65D7"/>
    <w:rsid w:val="00C016E9"/>
    <w:rsid w:val="00C02496"/>
    <w:rsid w:val="00C04970"/>
    <w:rsid w:val="00C06D18"/>
    <w:rsid w:val="00C07CA3"/>
    <w:rsid w:val="00C1407A"/>
    <w:rsid w:val="00C34E68"/>
    <w:rsid w:val="00C41183"/>
    <w:rsid w:val="00C44B9A"/>
    <w:rsid w:val="00C44DCF"/>
    <w:rsid w:val="00C51181"/>
    <w:rsid w:val="00C54724"/>
    <w:rsid w:val="00C650F0"/>
    <w:rsid w:val="00C72088"/>
    <w:rsid w:val="00C73B2D"/>
    <w:rsid w:val="00C84E3C"/>
    <w:rsid w:val="00C93DF2"/>
    <w:rsid w:val="00CA7CB2"/>
    <w:rsid w:val="00CB2719"/>
    <w:rsid w:val="00CB6067"/>
    <w:rsid w:val="00CD096E"/>
    <w:rsid w:val="00CE3A4F"/>
    <w:rsid w:val="00CF524B"/>
    <w:rsid w:val="00D032CC"/>
    <w:rsid w:val="00D14153"/>
    <w:rsid w:val="00D15F65"/>
    <w:rsid w:val="00D1785E"/>
    <w:rsid w:val="00D3179A"/>
    <w:rsid w:val="00D31DD0"/>
    <w:rsid w:val="00D41377"/>
    <w:rsid w:val="00D45351"/>
    <w:rsid w:val="00D52D07"/>
    <w:rsid w:val="00D60FDB"/>
    <w:rsid w:val="00D80BD7"/>
    <w:rsid w:val="00DA6A65"/>
    <w:rsid w:val="00DB1395"/>
    <w:rsid w:val="00DB78F2"/>
    <w:rsid w:val="00DC49BD"/>
    <w:rsid w:val="00DC74E9"/>
    <w:rsid w:val="00DD3EC5"/>
    <w:rsid w:val="00DD605F"/>
    <w:rsid w:val="00DE2125"/>
    <w:rsid w:val="00DE2940"/>
    <w:rsid w:val="00DF0B10"/>
    <w:rsid w:val="00E16BDB"/>
    <w:rsid w:val="00E228EF"/>
    <w:rsid w:val="00E25D46"/>
    <w:rsid w:val="00E26ECC"/>
    <w:rsid w:val="00E32806"/>
    <w:rsid w:val="00E370B5"/>
    <w:rsid w:val="00E42AE6"/>
    <w:rsid w:val="00E47897"/>
    <w:rsid w:val="00E540E0"/>
    <w:rsid w:val="00E7006D"/>
    <w:rsid w:val="00E800B9"/>
    <w:rsid w:val="00E91F3E"/>
    <w:rsid w:val="00E926B5"/>
    <w:rsid w:val="00E92D6E"/>
    <w:rsid w:val="00EB35E0"/>
    <w:rsid w:val="00EB3E81"/>
    <w:rsid w:val="00EC79FE"/>
    <w:rsid w:val="00ED1153"/>
    <w:rsid w:val="00ED347D"/>
    <w:rsid w:val="00EE1F1C"/>
    <w:rsid w:val="00EE2CA7"/>
    <w:rsid w:val="00EE6029"/>
    <w:rsid w:val="00EF4895"/>
    <w:rsid w:val="00EF61A1"/>
    <w:rsid w:val="00F0227D"/>
    <w:rsid w:val="00F10DAF"/>
    <w:rsid w:val="00F243D5"/>
    <w:rsid w:val="00F243E2"/>
    <w:rsid w:val="00F25502"/>
    <w:rsid w:val="00F46823"/>
    <w:rsid w:val="00F5605B"/>
    <w:rsid w:val="00F60728"/>
    <w:rsid w:val="00F63CAF"/>
    <w:rsid w:val="00F6474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3D663F-010B-41A1-BEC0-1FA3D50FF9FE}">
  <ds:schemaRefs>
    <ds:schemaRef ds:uri="http://schemas.microsoft.com/sharepoint/v3/contenttype/forms"/>
  </ds:schemaRefs>
</ds:datastoreItem>
</file>

<file path=customXml/itemProps2.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7123</Words>
  <Characters>40606</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4</cp:revision>
  <cp:lastPrinted>2023-10-24T12:04:00Z</cp:lastPrinted>
  <dcterms:created xsi:type="dcterms:W3CDTF">2023-10-24T07:31:00Z</dcterms:created>
  <dcterms:modified xsi:type="dcterms:W3CDTF">2024-05-28T14:10:00Z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