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17730B43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FD2113" w:rsidRPr="00440D02">
        <w:rPr>
          <w:rFonts w:ascii="Times New Roman" w:hAnsi="Times New Roman"/>
          <w:i/>
          <w:sz w:val="24"/>
          <w:szCs w:val="24"/>
        </w:rPr>
        <w:t xml:space="preserve">„Obnova licencií  a </w:t>
      </w:r>
      <w:r w:rsidR="00FD2113" w:rsidRPr="003B57AF">
        <w:rPr>
          <w:rFonts w:ascii="Times New Roman" w:hAnsi="Times New Roman"/>
          <w:bCs/>
          <w:i/>
          <w:noProof/>
          <w:sz w:val="24"/>
          <w:szCs w:val="24"/>
        </w:rPr>
        <w:t>podpory na používanie softwaru IBM Securiry QRadar“</w:t>
      </w:r>
      <w:r w:rsidR="006A0BE9" w:rsidRPr="003B57AF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440D02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</w:t>
      </w:r>
      <w:r w:rsidR="0079080B" w:rsidRPr="003B57AF">
        <w:rPr>
          <w:rFonts w:ascii="Times New Roman" w:hAnsi="Times New Roman"/>
          <w:bCs/>
          <w:i/>
          <w:noProof/>
          <w:sz w:val="24"/>
          <w:szCs w:val="24"/>
        </w:rPr>
        <w:t xml:space="preserve">ponúk č. </w:t>
      </w:r>
      <w:r w:rsidR="00FD2113" w:rsidRPr="003B57AF">
        <w:rPr>
          <w:rFonts w:ascii="Times New Roman" w:hAnsi="Times New Roman"/>
          <w:bCs/>
          <w:i/>
          <w:noProof/>
          <w:sz w:val="24"/>
          <w:szCs w:val="24"/>
        </w:rPr>
        <w:t>22</w:t>
      </w:r>
      <w:r w:rsidR="00D774DD" w:rsidRPr="003B57AF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3B57AF">
        <w:rPr>
          <w:rFonts w:ascii="Times New Roman" w:hAnsi="Times New Roman"/>
          <w:i/>
          <w:sz w:val="24"/>
          <w:szCs w:val="24"/>
        </w:rPr>
        <w:t>(ďalej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469EB9AC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CC40AD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124CA69" w14:textId="586437D4" w:rsidR="003B57AF" w:rsidRPr="00622214" w:rsidRDefault="00E03BD4" w:rsidP="003B57AF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2214">
        <w:rPr>
          <w:rFonts w:ascii="Times New Roman" w:hAnsi="Times New Roman"/>
          <w:sz w:val="24"/>
          <w:szCs w:val="24"/>
        </w:rPr>
        <w:t>Dodávateľ</w:t>
      </w:r>
      <w:r w:rsidR="00ED32EE" w:rsidRPr="00622214">
        <w:rPr>
          <w:rFonts w:ascii="Times New Roman" w:hAnsi="Times New Roman"/>
          <w:sz w:val="24"/>
          <w:szCs w:val="24"/>
        </w:rPr>
        <w:t xml:space="preserve"> sa zaväzuje dodať </w:t>
      </w:r>
      <w:r w:rsidRPr="00622214">
        <w:rPr>
          <w:rFonts w:ascii="Times New Roman" w:hAnsi="Times New Roman"/>
          <w:sz w:val="24"/>
          <w:szCs w:val="24"/>
        </w:rPr>
        <w:t>Objednávateľovi</w:t>
      </w:r>
      <w:r w:rsidR="00ED32EE" w:rsidRPr="00622214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622214">
        <w:rPr>
          <w:rFonts w:ascii="Times New Roman" w:hAnsi="Times New Roman"/>
          <w:sz w:val="24"/>
          <w:szCs w:val="24"/>
        </w:rPr>
        <w:t> </w:t>
      </w:r>
      <w:r w:rsidR="00ED32EE" w:rsidRPr="00622214">
        <w:rPr>
          <w:rFonts w:ascii="Times New Roman" w:hAnsi="Times New Roman"/>
          <w:sz w:val="24"/>
          <w:szCs w:val="24"/>
        </w:rPr>
        <w:t>Prílohe</w:t>
      </w:r>
      <w:r w:rsidR="00965767" w:rsidRPr="00622214">
        <w:rPr>
          <w:rFonts w:ascii="Times New Roman" w:hAnsi="Times New Roman"/>
          <w:sz w:val="24"/>
          <w:szCs w:val="24"/>
        </w:rPr>
        <w:t xml:space="preserve"> </w:t>
      </w:r>
      <w:r w:rsidR="002D6EE8" w:rsidRPr="00622214">
        <w:rPr>
          <w:rFonts w:ascii="Times New Roman" w:hAnsi="Times New Roman"/>
          <w:sz w:val="24"/>
          <w:szCs w:val="24"/>
        </w:rPr>
        <w:t>v takom termíne, aby bol dodržaný začiatok doby platnosti licencie uvedený v prílohe.</w:t>
      </w:r>
    </w:p>
    <w:p w14:paraId="0302EB55" w14:textId="50D9086B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</w:t>
      </w:r>
      <w:r w:rsidR="001221F9">
        <w:rPr>
          <w:rFonts w:ascii="Times New Roman" w:hAnsi="Times New Roman"/>
          <w:sz w:val="24"/>
          <w:szCs w:val="24"/>
        </w:rPr>
        <w:t>e</w:t>
      </w:r>
      <w:r w:rsidRPr="00855DC1">
        <w:rPr>
          <w:rFonts w:ascii="Times New Roman" w:hAnsi="Times New Roman"/>
          <w:sz w:val="24"/>
          <w:szCs w:val="24"/>
        </w:rPr>
        <w:t xml:space="preserve"> minimálne v rozsahu, aký určujú štandardné licenčné podmienky koncového používateľa, s ktorými </w:t>
      </w:r>
      <w:r w:rsidR="001221F9">
        <w:rPr>
          <w:rFonts w:ascii="Times New Roman" w:hAnsi="Times New Roman"/>
          <w:sz w:val="24"/>
          <w:szCs w:val="24"/>
        </w:rPr>
        <w:t>sú</w:t>
      </w:r>
      <w:r w:rsidRPr="00855DC1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e</w:t>
      </w:r>
      <w:r w:rsidRPr="00855DC1">
        <w:rPr>
          <w:rFonts w:ascii="Times New Roman" w:hAnsi="Times New Roman"/>
          <w:sz w:val="24"/>
          <w:szCs w:val="24"/>
        </w:rPr>
        <w:t xml:space="preserve"> bežne predávan</w:t>
      </w:r>
      <w:r w:rsidR="001221F9">
        <w:rPr>
          <w:rFonts w:ascii="Times New Roman" w:hAnsi="Times New Roman"/>
          <w:sz w:val="24"/>
          <w:szCs w:val="24"/>
        </w:rPr>
        <w:t>é</w:t>
      </w:r>
      <w:r w:rsidRPr="00855DC1">
        <w:rPr>
          <w:rFonts w:ascii="Times New Roman" w:hAnsi="Times New Roman"/>
          <w:sz w:val="24"/>
          <w:szCs w:val="24"/>
        </w:rPr>
        <w:t xml:space="preserve"> a/alebo distribuovan</w:t>
      </w:r>
      <w:r w:rsidR="001221F9">
        <w:rPr>
          <w:rFonts w:ascii="Times New Roman" w:hAnsi="Times New Roman"/>
          <w:sz w:val="24"/>
          <w:szCs w:val="24"/>
        </w:rPr>
        <w:t>é</w:t>
      </w:r>
      <w:r w:rsidRPr="00855DC1">
        <w:rPr>
          <w:rFonts w:ascii="Times New Roman" w:hAnsi="Times New Roman"/>
          <w:sz w:val="24"/>
          <w:szCs w:val="24"/>
        </w:rPr>
        <w:t>, a to tak, aby užívacie právo Objednávateľa k dodan</w:t>
      </w:r>
      <w:r w:rsidR="001221F9">
        <w:rPr>
          <w:rFonts w:ascii="Times New Roman" w:hAnsi="Times New Roman"/>
          <w:sz w:val="24"/>
          <w:szCs w:val="24"/>
        </w:rPr>
        <w:t>ým</w:t>
      </w:r>
      <w:r w:rsidRPr="00855DC1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ám</w:t>
      </w:r>
      <w:r w:rsidRPr="00855DC1">
        <w:rPr>
          <w:rFonts w:ascii="Times New Roman" w:hAnsi="Times New Roman"/>
          <w:sz w:val="24"/>
          <w:szCs w:val="24"/>
        </w:rPr>
        <w:t xml:space="preserve"> nebolo akokoľvek obmedzené. Dodávateľ je povinný bezodkladne po uzatvorení zmluvy Objednávateľovi dodať alebo sprístupniť štandardné licenčné podmienky koncového užívateľa Licenci</w:t>
      </w:r>
      <w:r w:rsidR="001221F9">
        <w:rPr>
          <w:rFonts w:ascii="Times New Roman" w:hAnsi="Times New Roman"/>
          <w:sz w:val="24"/>
          <w:szCs w:val="24"/>
        </w:rPr>
        <w:t>í</w:t>
      </w:r>
      <w:r w:rsidRPr="00855DC1">
        <w:rPr>
          <w:rFonts w:ascii="Times New Roman" w:hAnsi="Times New Roman"/>
          <w:sz w:val="24"/>
          <w:szCs w:val="24"/>
        </w:rPr>
        <w:t xml:space="preserve">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05ECC4B9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</w:t>
      </w:r>
      <w:r w:rsidR="001221F9">
        <w:rPr>
          <w:rFonts w:ascii="Times New Roman" w:hAnsi="Times New Roman"/>
          <w:sz w:val="24"/>
          <w:szCs w:val="24"/>
        </w:rPr>
        <w:t>í</w:t>
      </w:r>
      <w:r w:rsidR="008C3DDA" w:rsidRPr="008C3DDA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2B07A19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</w:t>
      </w:r>
      <w:r w:rsidR="001221F9">
        <w:rPr>
          <w:rFonts w:ascii="Times New Roman" w:hAnsi="Times New Roman"/>
          <w:sz w:val="24"/>
          <w:szCs w:val="24"/>
        </w:rPr>
        <w:t>Licencií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7EF7EDE6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>Ak Objednávateľ nebude môcť využívať softvérový produkt alebo systém na základe dodan</w:t>
      </w:r>
      <w:r w:rsidR="001221F9">
        <w:rPr>
          <w:rFonts w:ascii="Times New Roman" w:hAnsi="Times New Roman"/>
          <w:sz w:val="24"/>
          <w:szCs w:val="24"/>
        </w:rPr>
        <w:t>ých</w:t>
      </w:r>
      <w:r w:rsidRPr="00331F74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í</w:t>
      </w:r>
      <w:r w:rsidRPr="00331F74">
        <w:rPr>
          <w:rFonts w:ascii="Times New Roman" w:hAnsi="Times New Roman"/>
          <w:sz w:val="24"/>
          <w:szCs w:val="24"/>
        </w:rPr>
        <w:t xml:space="preserve">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</w:t>
      </w:r>
      <w:r w:rsidR="001221F9">
        <w:rPr>
          <w:rFonts w:ascii="Times New Roman" w:hAnsi="Times New Roman"/>
          <w:sz w:val="24"/>
          <w:szCs w:val="24"/>
        </w:rPr>
        <w:t>ých</w:t>
      </w:r>
      <w:r w:rsidRPr="00331F74">
        <w:rPr>
          <w:rFonts w:ascii="Times New Roman" w:hAnsi="Times New Roman"/>
          <w:sz w:val="24"/>
          <w:szCs w:val="24"/>
        </w:rPr>
        <w:t xml:space="preserve"> Licenci</w:t>
      </w:r>
      <w:r w:rsidR="001221F9">
        <w:rPr>
          <w:rFonts w:ascii="Times New Roman" w:hAnsi="Times New Roman"/>
          <w:sz w:val="24"/>
          <w:szCs w:val="24"/>
        </w:rPr>
        <w:t>í</w:t>
      </w:r>
      <w:r w:rsidRPr="00331F74">
        <w:rPr>
          <w:rFonts w:ascii="Times New Roman" w:hAnsi="Times New Roman"/>
          <w:sz w:val="24"/>
          <w:szCs w:val="24"/>
        </w:rPr>
        <w:t>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6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850"/>
        <w:gridCol w:w="851"/>
        <w:gridCol w:w="288"/>
        <w:gridCol w:w="1129"/>
        <w:gridCol w:w="1701"/>
        <w:gridCol w:w="1990"/>
      </w:tblGrid>
      <w:tr w:rsidR="00F56010" w:rsidRPr="00A1399C" w14:paraId="5162EA11" w14:textId="77777777" w:rsidTr="001221F9">
        <w:trPr>
          <w:trHeight w:val="16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4E16207F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C835D" w14:textId="16DB2689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Požadovaný počet </w:t>
            </w:r>
            <w:r w:rsidR="001221F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47206B2A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F56010" w:rsidRPr="00C43AB3" w14:paraId="44A29C24" w14:textId="77777777" w:rsidTr="00E56CF2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F56010" w:rsidRPr="00C43AB3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0DB69CB4" w:rsidR="00F56010" w:rsidRPr="00C43AB3" w:rsidRDefault="001221F9" w:rsidP="00816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Licencia umožňujúca serverovú inštaláciu a použitie softwaru "IBM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Security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QRadar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Software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Node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Install</w:t>
            </w:r>
            <w:proofErr w:type="spellEnd"/>
            <w:r w:rsidRPr="001221F9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". Licencia zahŕňa podporu, ktorá umožňuje sťahovanie bezpečnostných softwarových updatov, prístup do databázy starších verzií softwaru. Otváranie a riešenie servisných požiadaviek na stránke výrobcu.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0B32BD28" w:rsidR="00F56010" w:rsidRPr="00C43AB3" w:rsidRDefault="001221F9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1221F9">
              <w:rPr>
                <w:rFonts w:ascii="Times New Roman" w:eastAsia="Times New Roman" w:hAnsi="Times New Roman"/>
                <w:color w:val="000000"/>
                <w:lang w:eastAsia="sk-SK"/>
              </w:rPr>
              <w:t>IBM-E0NEGLL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CA37" w14:textId="54721A7A" w:rsidR="00F56010" w:rsidRPr="00622214" w:rsidRDefault="00F52AFC" w:rsidP="00F52AF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sk-SK"/>
              </w:rPr>
            </w:pPr>
            <w:r w:rsidRPr="00F52AFC">
              <w:rPr>
                <w:rFonts w:cs="Calibri"/>
                <w:b/>
                <w:bCs/>
                <w:color w:val="000000"/>
                <w:lang w:eastAsia="sk-SK"/>
              </w:rPr>
              <w:t xml:space="preserve">Začiatok: </w:t>
            </w:r>
            <w:r>
              <w:rPr>
                <w:rFonts w:cs="Calibri"/>
                <w:color w:val="000000"/>
                <w:lang w:eastAsia="sk-SK"/>
              </w:rPr>
              <w:t>najneskôr</w:t>
            </w:r>
            <w:r>
              <w:rPr>
                <w:rFonts w:cs="Calibri"/>
                <w:color w:val="000000"/>
                <w:lang w:eastAsia="sk-SK"/>
              </w:rPr>
              <w:t xml:space="preserve"> 3. pracovný deň od nadobudnutia účinnosti zmluvy                 </w:t>
            </w:r>
            <w:r w:rsidRPr="00F52AFC">
              <w:rPr>
                <w:rFonts w:cs="Calibri"/>
                <w:b/>
                <w:bCs/>
                <w:color w:val="000000"/>
                <w:lang w:eastAsia="sk-SK"/>
              </w:rPr>
              <w:t xml:space="preserve">Koniec </w:t>
            </w:r>
            <w:r>
              <w:rPr>
                <w:rFonts w:cs="Calibri"/>
                <w:color w:val="000000"/>
                <w:lang w:eastAsia="sk-SK"/>
              </w:rPr>
              <w:t>30.06.2025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9133" w14:textId="5B6D513C" w:rsidR="00F56010" w:rsidRPr="00C43AB3" w:rsidRDefault="001221F9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F56010" w:rsidRPr="00C43AB3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F56010" w:rsidRPr="00C43AB3" w:rsidRDefault="00F56010" w:rsidP="0081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56010" w:rsidRPr="00A1399C" w14:paraId="0B329D90" w14:textId="77777777" w:rsidTr="00F52AFC">
        <w:trPr>
          <w:trHeight w:val="22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080D" w14:textId="167020CE" w:rsidR="00F56010" w:rsidRPr="00A1399C" w:rsidRDefault="001221F9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 xml:space="preserve">Licencia pre "IBM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Qradar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>" umožňujúca kapacitu toku 1000 spracovaných udalostí systémom za sekundu. Licencia zahŕňa podporu výrobcu.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581F5892" w:rsidR="00F56010" w:rsidRPr="00A1399C" w:rsidRDefault="001221F9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>IBM-E0NBGLL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E500" w14:textId="3BA5968F" w:rsidR="00F56010" w:rsidRPr="00622214" w:rsidRDefault="00F52AFC" w:rsidP="00F52AFC">
            <w:pPr>
              <w:spacing w:before="120" w:after="120" w:line="240" w:lineRule="auto"/>
              <w:rPr>
                <w:rFonts w:ascii="Times New Roman" w:eastAsiaTheme="minorHAnsi" w:hAnsi="Times New Roman"/>
                <w:color w:val="FF0000"/>
              </w:rPr>
            </w:pPr>
            <w:r w:rsidRPr="00F52AFC">
              <w:rPr>
                <w:rFonts w:cs="Calibri"/>
                <w:b/>
                <w:bCs/>
                <w:color w:val="000000"/>
                <w:lang w:eastAsia="sk-SK"/>
              </w:rPr>
              <w:t>Začiatok: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>
              <w:rPr>
                <w:rFonts w:cs="Calibri"/>
                <w:color w:val="000000"/>
                <w:lang w:eastAsia="sk-SK"/>
              </w:rPr>
              <w:t>najneskôr</w:t>
            </w:r>
            <w:r>
              <w:rPr>
                <w:rFonts w:cs="Calibri"/>
                <w:color w:val="000000"/>
                <w:lang w:eastAsia="sk-SK"/>
              </w:rPr>
              <w:t xml:space="preserve"> 3.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>
              <w:rPr>
                <w:rFonts w:cs="Calibri"/>
                <w:color w:val="000000"/>
                <w:lang w:eastAsia="sk-SK"/>
              </w:rPr>
              <w:t>pracovný deň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>
              <w:rPr>
                <w:rFonts w:cs="Calibri"/>
                <w:color w:val="000000"/>
                <w:lang w:eastAsia="sk-SK"/>
              </w:rPr>
              <w:t xml:space="preserve">od nadobudnutia účinnosti zmluvy                 </w:t>
            </w:r>
            <w:r w:rsidRPr="00F52AFC">
              <w:rPr>
                <w:rFonts w:cs="Calibri"/>
                <w:b/>
                <w:bCs/>
                <w:color w:val="000000"/>
                <w:lang w:eastAsia="sk-SK"/>
              </w:rPr>
              <w:t xml:space="preserve">Koniec </w:t>
            </w:r>
            <w:r>
              <w:rPr>
                <w:rFonts w:cs="Calibri"/>
                <w:color w:val="000000"/>
                <w:lang w:eastAsia="sk-SK"/>
              </w:rPr>
              <w:t>30.06.2025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EEAA" w14:textId="0E830D9D" w:rsidR="00F56010" w:rsidRPr="00A1399C" w:rsidRDefault="00E56CF2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56010" w:rsidRPr="00A1399C" w14:paraId="03DB7A23" w14:textId="77777777" w:rsidTr="00E56CF2">
        <w:trPr>
          <w:trHeight w:val="2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F56010" w:rsidRPr="00A1399C" w:rsidRDefault="00F56010" w:rsidP="00816D1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9D3A" w14:textId="4E625C1B" w:rsidR="00F56010" w:rsidRPr="00A1399C" w:rsidRDefault="001221F9" w:rsidP="00816D1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1221F9">
              <w:rPr>
                <w:rFonts w:ascii="Times New Roman" w:eastAsiaTheme="minorHAnsi" w:hAnsi="Times New Roman"/>
                <w:color w:val="000000"/>
              </w:rPr>
              <w:t xml:space="preserve">Licencia umožňujúca  inštaláciu a použitie softwaru na koncovom zariadení  "IBM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QRadar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 xml:space="preserve"> Software  </w:t>
            </w:r>
            <w:proofErr w:type="spellStart"/>
            <w:r w:rsidRPr="001221F9">
              <w:rPr>
                <w:rFonts w:ascii="Times New Roman" w:eastAsiaTheme="minorHAnsi" w:hAnsi="Times New Roman"/>
                <w:color w:val="000000"/>
              </w:rPr>
              <w:t>Install</w:t>
            </w:r>
            <w:proofErr w:type="spellEnd"/>
            <w:r w:rsidRPr="001221F9">
              <w:rPr>
                <w:rFonts w:ascii="Times New Roman" w:eastAsiaTheme="minorHAnsi" w:hAnsi="Times New Roman"/>
                <w:color w:val="000000"/>
              </w:rPr>
              <w:t>". Licencia zahŕňa podporu, ktorá umožňuje sťahovanie bezpečnostných softwarových updatov, prístup do databázy starších verzií softwaru.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78784FBE" w:rsidR="00F56010" w:rsidRPr="00A1399C" w:rsidRDefault="001221F9" w:rsidP="00816D1F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21F9">
              <w:rPr>
                <w:rFonts w:ascii="Times New Roman" w:eastAsiaTheme="minorHAnsi" w:hAnsi="Times New Roman"/>
              </w:rPr>
              <w:t>IBM-E0NBALL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16EF4" w14:textId="39C938F0" w:rsidR="00F56010" w:rsidRPr="00622214" w:rsidRDefault="00F52AFC" w:rsidP="00F52AFC">
            <w:pPr>
              <w:spacing w:before="120" w:after="120" w:line="240" w:lineRule="auto"/>
              <w:rPr>
                <w:rFonts w:ascii="Times New Roman" w:eastAsiaTheme="minorHAnsi" w:hAnsi="Times New Roman"/>
                <w:color w:val="FF0000"/>
              </w:rPr>
            </w:pPr>
            <w:r w:rsidRPr="00F52AFC">
              <w:rPr>
                <w:rFonts w:cs="Calibri"/>
                <w:b/>
                <w:bCs/>
                <w:color w:val="000000"/>
                <w:lang w:eastAsia="sk-SK"/>
              </w:rPr>
              <w:t xml:space="preserve">Začiatok: </w:t>
            </w:r>
            <w:r>
              <w:rPr>
                <w:rFonts w:cs="Calibri"/>
                <w:color w:val="000000"/>
                <w:lang w:eastAsia="sk-SK"/>
              </w:rPr>
              <w:t xml:space="preserve">najneskôr 3. pracovný deň od nadobudnutia účinnosti zmluvy                 </w:t>
            </w:r>
            <w:r w:rsidRPr="00F52AFC">
              <w:rPr>
                <w:rFonts w:cs="Calibri"/>
                <w:b/>
                <w:bCs/>
                <w:color w:val="000000"/>
                <w:lang w:eastAsia="sk-SK"/>
              </w:rPr>
              <w:t xml:space="preserve">Koniec </w:t>
            </w:r>
            <w:r>
              <w:rPr>
                <w:rFonts w:cs="Calibri"/>
                <w:color w:val="000000"/>
                <w:lang w:eastAsia="sk-SK"/>
              </w:rPr>
              <w:t>30.06.2025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A79A9" w14:textId="1D40EBA6" w:rsidR="00F56010" w:rsidRPr="00A1399C" w:rsidRDefault="001221F9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F56010" w:rsidRPr="00A1399C" w:rsidRDefault="00F56010" w:rsidP="00816D1F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56010" w:rsidRPr="00A1399C" w14:paraId="2FB36B71" w14:textId="7622BFAB" w:rsidTr="00FA0250">
        <w:trPr>
          <w:gridAfter w:val="3"/>
          <w:wAfter w:w="4820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56010" w:rsidRPr="00A1399C" w14:paraId="1D3302A9" w14:textId="1C74612E" w:rsidTr="00FA0250">
        <w:trPr>
          <w:gridAfter w:val="3"/>
          <w:wAfter w:w="4820" w:type="dxa"/>
          <w:trHeight w:val="390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2D9828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E8DC0B" w14:textId="77777777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62897B" w14:textId="0E574B1A" w:rsidR="00F56010" w:rsidRPr="00A1399C" w:rsidRDefault="00F56010" w:rsidP="00816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F56010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365C" w14:textId="2055E23C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3E84" w14:textId="6D47392A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 xml:space="preserve">Príloha k Zmluve o zabezpečení podpory a licencií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1B76D2CC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 w:numId="46" w16cid:durableId="7587975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1F9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D6EE8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7AF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0D02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2214"/>
    <w:rsid w:val="00623FF9"/>
    <w:rsid w:val="00627F33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0A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6CF2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E8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2AFC"/>
    <w:rsid w:val="00F546A2"/>
    <w:rsid w:val="00F54F01"/>
    <w:rsid w:val="00F550E9"/>
    <w:rsid w:val="00F5601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250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8D6"/>
    <w:rsid w:val="00FC74ED"/>
    <w:rsid w:val="00FD0382"/>
    <w:rsid w:val="00FD0632"/>
    <w:rsid w:val="00FD0B29"/>
    <w:rsid w:val="00FD2113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3685</Words>
  <Characters>21006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2024-05-24T10:43:00Z</dcterms:created>
  <dcterms:modified xsi:type="dcterms:W3CDTF">2024-06-21T12:14:00Z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