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5B82" w14:textId="3F7A0181"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3201A0">
        <w:rPr>
          <w:rFonts w:ascii="Arial Narrow" w:hAnsi="Arial Narrow" w:cs="Arial"/>
          <w:sz w:val="20"/>
          <w:szCs w:val="20"/>
        </w:rPr>
        <w:t>5</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bookmarkStart w:id="0" w:name="_GoBack"/>
      <w:bookmarkEnd w:id="0"/>
    </w:p>
    <w:p w14:paraId="4A57E0D1" w14:textId="3B61AA6E"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E10F3D">
      <w:pPr>
        <w:pStyle w:val="Zkladntext"/>
        <w:numPr>
          <w:ilvl w:val="0"/>
          <w:numId w:val="9"/>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5B064F"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B064F">
        <w:rPr>
          <w:rFonts w:ascii="Arial Narrow" w:eastAsia="Arial Unicode MS" w:hAnsi="Arial Narrow"/>
          <w:iCs/>
          <w:bdr w:val="nil"/>
        </w:rPr>
        <w:t xml:space="preserve">Preukazovanie podmienok účasti je voči verejnému obstarávateľovi účinné aj spôsobom podľa § 152 </w:t>
      </w:r>
      <w:r w:rsidR="00135B11" w:rsidRPr="005B064F">
        <w:rPr>
          <w:rFonts w:ascii="Arial Narrow" w:eastAsia="Arial Unicode MS" w:hAnsi="Arial Narrow"/>
          <w:iCs/>
          <w:bdr w:val="nil"/>
        </w:rPr>
        <w:br/>
      </w:r>
      <w:r w:rsidRPr="005B064F">
        <w:rPr>
          <w:rFonts w:ascii="Arial Narrow" w:eastAsia="Arial Unicode MS" w:hAnsi="Arial Narrow"/>
          <w:iCs/>
          <w:bdr w:val="nil"/>
        </w:rPr>
        <w:t xml:space="preserve">ods. 4 zákona. </w:t>
      </w:r>
      <w:r w:rsidRPr="005B064F">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5CF7771F" w14:textId="77777777" w:rsidR="006A5177" w:rsidRDefault="006A5177" w:rsidP="006A5177">
      <w:pPr>
        <w:spacing w:after="0" w:line="240" w:lineRule="auto"/>
        <w:jc w:val="both"/>
        <w:rPr>
          <w:rFonts w:ascii="Arial Narrow" w:hAnsi="Arial Narrow"/>
        </w:rPr>
      </w:pPr>
      <w:r w:rsidRPr="0020070C">
        <w:rPr>
          <w:rFonts w:ascii="Arial Narrow" w:hAnsi="Arial Narrow"/>
        </w:rPr>
        <w:t>Verejný obstarávateľ neurčil podmienky účasti podľa § 33 zákona týkajúce sa</w:t>
      </w:r>
      <w:r>
        <w:rPr>
          <w:rFonts w:ascii="Arial Narrow" w:hAnsi="Arial Narrow"/>
        </w:rPr>
        <w:t xml:space="preserve"> </w:t>
      </w:r>
      <w:r w:rsidRPr="0020070C">
        <w:rPr>
          <w:rFonts w:ascii="Arial Narrow" w:hAnsi="Arial Narrow"/>
        </w:rPr>
        <w:t>finančného a ekonomického postavenia.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6032056" w14:textId="430C66FF" w:rsidR="00CB176C" w:rsidRPr="0028705E" w:rsidRDefault="00CC6CB5" w:rsidP="00E1294D">
      <w:pPr>
        <w:spacing w:after="0" w:line="240" w:lineRule="auto"/>
        <w:jc w:val="both"/>
        <w:rPr>
          <w:rFonts w:ascii="Arial Narrow" w:hAnsi="Arial Narrow"/>
          <w:lang w:eastAsia="sk-SK"/>
        </w:rPr>
      </w:pPr>
      <w:r w:rsidRPr="0020070C">
        <w:rPr>
          <w:rFonts w:ascii="Arial Narrow" w:hAnsi="Arial Narrow"/>
        </w:rPr>
        <w:t>Verejný obstarávateľ neurčil podmienky účasti podľa § 3</w:t>
      </w:r>
      <w:r>
        <w:rPr>
          <w:rFonts w:ascii="Arial Narrow" w:hAnsi="Arial Narrow"/>
        </w:rPr>
        <w:t>4</w:t>
      </w:r>
      <w:r w:rsidRPr="0020070C">
        <w:rPr>
          <w:rFonts w:ascii="Arial Narrow" w:hAnsi="Arial Narrow"/>
        </w:rPr>
        <w:t xml:space="preserve"> zákona týkajúce </w:t>
      </w:r>
      <w:r>
        <w:rPr>
          <w:rFonts w:ascii="Arial Narrow" w:hAnsi="Arial Narrow"/>
        </w:rPr>
        <w:t>technickej alebo odbornej spôsobilosti</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749D9C71" w14:textId="77777777" w:rsidR="00CC6CB5" w:rsidRDefault="00CC6CB5" w:rsidP="00C31B8E">
      <w:pPr>
        <w:spacing w:after="0" w:line="240" w:lineRule="auto"/>
        <w:jc w:val="both"/>
        <w:rPr>
          <w:rStyle w:val="Jemnzvraznenie"/>
          <w:rFonts w:ascii="Arial Narrow" w:hAnsi="Arial Narrow"/>
          <w:b w:val="0"/>
          <w:sz w:val="22"/>
        </w:rPr>
      </w:pPr>
    </w:p>
    <w:p w14:paraId="342E3773" w14:textId="77777777" w:rsidR="00CC6CB5" w:rsidRDefault="00CC6CB5" w:rsidP="000C68C1">
      <w:pPr>
        <w:spacing w:after="0" w:line="240" w:lineRule="auto"/>
        <w:jc w:val="both"/>
        <w:rPr>
          <w:rFonts w:ascii="Arial Narrow" w:hAnsi="Arial Narrow"/>
          <w:shd w:val="clear" w:color="auto" w:fill="FFFFFF"/>
        </w:rPr>
      </w:pPr>
    </w:p>
    <w:p w14:paraId="2B3B6B40" w14:textId="5D878CB7" w:rsidR="000C68C1" w:rsidRDefault="000C68C1" w:rsidP="000C68C1">
      <w:pPr>
        <w:spacing w:after="0" w:line="240" w:lineRule="auto"/>
        <w:jc w:val="both"/>
        <w:rPr>
          <w:rStyle w:val="Jemnzvraznenie"/>
          <w:rFonts w:ascii="Arial Narrow" w:hAnsi="Arial Narrow"/>
          <w:b w:val="0"/>
          <w:sz w:val="22"/>
        </w:rPr>
      </w:pPr>
      <w:r>
        <w:rPr>
          <w:rFonts w:ascii="Arial Narrow" w:hAnsi="Arial Narrow"/>
          <w:shd w:val="clear" w:color="auto" w:fill="FFFFFF"/>
        </w:rPr>
        <w:t>Hospodársky subjekt</w:t>
      </w:r>
      <w:r w:rsidRPr="00DE6DCD">
        <w:rPr>
          <w:rStyle w:val="Jemnzvraznenie"/>
          <w:rFonts w:ascii="Arial Narrow" w:hAnsi="Arial Narrow"/>
          <w:b w:val="0"/>
          <w:sz w:val="22"/>
        </w:rPr>
        <w:t xml:space="preserve"> môže predbežne nahradiť doklady na preukázanie splnenia podmienok účasti jednotným európskym dokumentom (</w:t>
      </w:r>
      <w:r>
        <w:rPr>
          <w:rStyle w:val="Jemnzvraznenie"/>
          <w:rFonts w:ascii="Arial Narrow" w:hAnsi="Arial Narrow"/>
          <w:b w:val="0"/>
          <w:sz w:val="22"/>
        </w:rPr>
        <w:t>„</w:t>
      </w:r>
      <w:r w:rsidRPr="00DE6DCD">
        <w:rPr>
          <w:rStyle w:val="Jemnzvraznenie"/>
          <w:rFonts w:ascii="Arial Narrow" w:hAnsi="Arial Narrow"/>
          <w:b w:val="0"/>
          <w:sz w:val="22"/>
        </w:rPr>
        <w:t>JED</w:t>
      </w:r>
      <w:r>
        <w:rPr>
          <w:rStyle w:val="Jemnzvraznenie"/>
          <w:rFonts w:ascii="Arial Narrow" w:hAnsi="Arial Narrow"/>
          <w:b w:val="0"/>
          <w:sz w:val="22"/>
        </w:rPr>
        <w:t>“</w:t>
      </w:r>
      <w:r w:rsidRPr="00DE6DCD">
        <w:rPr>
          <w:rStyle w:val="Jemnzvraznenie"/>
          <w:rFonts w:ascii="Arial Narrow" w:hAnsi="Arial Narrow"/>
          <w:b w:val="0"/>
          <w:sz w:val="22"/>
        </w:rPr>
        <w:t>)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02001ED" w14:textId="218E38CA" w:rsidR="00735EA7" w:rsidRPr="00FC0219" w:rsidRDefault="000C68C1" w:rsidP="000C68C1">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FC0219">
          <w:rPr>
            <w:rStyle w:val="Hypertextovprepojenie"/>
            <w:rFonts w:ascii="Arial Narrow" w:hAnsi="Arial Narrow"/>
            <w:color w:val="auto"/>
          </w:rPr>
          <w:t>https://www.uvo.gov.sk/jednotny-europsky-dokument-pre-verejne-obstaravanie</w:t>
        </w:r>
      </w:hyperlink>
      <w:r w:rsidRPr="00FC0219">
        <w:rPr>
          <w:rFonts w:ascii="Arial Narrow" w:hAnsi="Arial Narrow"/>
        </w:rPr>
        <w:t xml:space="preserve"> :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lastRenderedPageBreak/>
        <w:t>Vo formulári JED uchádzač vyplní nasledovné časti:</w:t>
      </w:r>
    </w:p>
    <w:bookmarkEnd w:id="1"/>
    <w:p w14:paraId="0A75885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FC0219">
          <w:rPr>
            <w:rStyle w:val="Hypertextovprepojenie"/>
            <w:rFonts w:ascii="Arial Narrow" w:hAnsi="Arial Narrow"/>
            <w:color w:val="auto"/>
          </w:rPr>
          <w:t>https://www.uvo.gov.sk/jednotny-europsky-dokument-pre-verejne-obstaravanie-602.html</w:t>
        </w:r>
      </w:hyperlink>
      <w:r w:rsidRPr="00FC0219">
        <w:rPr>
          <w:rFonts w:ascii="Arial Narrow" w:hAnsi="Arial Narrow"/>
        </w:rPr>
        <w:t xml:space="preserve"> , okrem časti I. označenej</w:t>
      </w:r>
      <w:r w:rsidRPr="004D7B17">
        <w:rPr>
          <w:rFonts w:ascii="Arial Narrow" w:hAnsi="Arial Narrow"/>
        </w:rPr>
        <w:t xml:space="preserve">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64BAADB4" w14:textId="77777777" w:rsidR="000C68C1"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74BD0D73" w14:textId="77777777" w:rsidR="000C68C1" w:rsidRDefault="000C68C1" w:rsidP="00CC6CB5">
      <w:pPr>
        <w:spacing w:before="120" w:after="0" w:line="240" w:lineRule="auto"/>
        <w:jc w:val="both"/>
        <w:rPr>
          <w:rFonts w:ascii="Arial Narrow" w:hAnsi="Arial Narrow"/>
          <w:u w:val="single"/>
          <w:lang w:eastAsia="sk-SK"/>
        </w:rPr>
      </w:pPr>
      <w:r w:rsidRPr="002B1024">
        <w:rPr>
          <w:rFonts w:ascii="Arial Narrow" w:hAnsi="Arial Narrow"/>
          <w:u w:val="single"/>
          <w:lang w:eastAsia="sk-SK"/>
        </w:rPr>
        <w:t xml:space="preserve">Ak uchádzač nevyužije na preukázanie splnenia podmienok účasti </w:t>
      </w:r>
      <w:r>
        <w:rPr>
          <w:rFonts w:ascii="Arial Narrow" w:hAnsi="Arial Narrow"/>
          <w:u w:val="single"/>
          <w:lang w:eastAsia="sk-SK"/>
        </w:rPr>
        <w:t>JED,</w:t>
      </w:r>
      <w:r w:rsidRPr="002B1024">
        <w:rPr>
          <w:rFonts w:ascii="Arial Narrow" w:hAnsi="Arial Narrow"/>
          <w:u w:val="single"/>
          <w:lang w:eastAsia="sk-SK"/>
        </w:rPr>
        <w:t xml:space="preserve"> predkladá v ponuke doklady na preukázanie splnenia podmienok účasti v elektronickej podobe podľa bodu 10.2 týchto súťažných podkladov.</w:t>
      </w:r>
    </w:p>
    <w:p w14:paraId="5A485670" w14:textId="77777777" w:rsidR="00C31B8E" w:rsidRPr="00C31B8E" w:rsidRDefault="00C31B8E" w:rsidP="00CC6CB5">
      <w:pPr>
        <w:rPr>
          <w:rFonts w:ascii="Arial Narrow" w:hAnsi="Arial Narrow"/>
          <w:lang w:eastAsia="sk-SK"/>
        </w:rPr>
      </w:pPr>
    </w:p>
    <w:sectPr w:rsidR="00C31B8E" w:rsidRPr="00C31B8E" w:rsidSect="00E659B6">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E578" w14:textId="63C561E1" w:rsidR="00DE1C03" w:rsidRDefault="00696889" w:rsidP="00DE1C03">
    <w:pPr>
      <w:spacing w:after="0" w:line="240" w:lineRule="auto"/>
      <w:jc w:val="center"/>
      <w:rPr>
        <w:rFonts w:ascii="Arial Narrow" w:hAnsi="Arial Narrow"/>
        <w:b/>
        <w:sz w:val="24"/>
        <w:szCs w:val="24"/>
        <w:lang w:eastAsia="sk-SK"/>
      </w:rPr>
    </w:pPr>
    <w:r w:rsidRPr="00DE1C03">
      <w:rPr>
        <w:rFonts w:ascii="Arial Narrow" w:hAnsi="Arial Narrow"/>
        <w:i/>
        <w:sz w:val="12"/>
        <w:szCs w:val="12"/>
      </w:rPr>
      <w:t>Súťažné podklady pre verejnú súťaž:</w:t>
    </w:r>
    <w:r w:rsidR="003201A0">
      <w:rPr>
        <w:rFonts w:ascii="Arial Narrow" w:hAnsi="Arial Narrow"/>
        <w:i/>
        <w:sz w:val="18"/>
        <w:szCs w:val="18"/>
      </w:rPr>
      <w:t xml:space="preserve"> </w:t>
    </w:r>
    <w:r w:rsidR="00DE1C03">
      <w:rPr>
        <w:rFonts w:ascii="Arial Narrow" w:hAnsi="Arial Narrow"/>
        <w:i/>
        <w:sz w:val="18"/>
        <w:szCs w:val="18"/>
      </w:rPr>
      <w:t>„</w:t>
    </w:r>
    <w:r w:rsidR="00DE1C03" w:rsidRPr="00DE1C03">
      <w:rPr>
        <w:rFonts w:ascii="Arial Narrow" w:hAnsi="Arial Narrow"/>
        <w:sz w:val="12"/>
        <w:szCs w:val="12"/>
        <w:lang w:eastAsia="sk-SK"/>
      </w:rPr>
      <w:t>Rozšírenie funkcionality a oprava poškodených blokov Rádiokomunikačných rušiacich zariadení JAMMERS SILENTEC CTN 202 na podvozku PONTGRATZ 206/12</w:t>
    </w:r>
    <w:r w:rsidR="00DE1C03">
      <w:rPr>
        <w:rFonts w:ascii="Arial Narrow" w:hAnsi="Arial Narrow"/>
        <w:sz w:val="12"/>
        <w:szCs w:val="12"/>
        <w:lang w:eastAsia="sk-SK"/>
      </w:rPr>
      <w:t>“</w:t>
    </w:r>
  </w:p>
  <w:p w14:paraId="7B96C044" w14:textId="090616AF" w:rsidR="007A1B99" w:rsidRPr="003201A0" w:rsidRDefault="007A1B99" w:rsidP="00696889">
    <w:pPr>
      <w:pStyle w:val="Pta"/>
      <w:rPr>
        <w:rFonts w:ascii="Arial Narrow" w:hAnsi="Arial Narrow"/>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D6C2881"/>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F7D5F4D"/>
    <w:multiLevelType w:val="hybridMultilevel"/>
    <w:tmpl w:val="50564240"/>
    <w:lvl w:ilvl="0" w:tplc="1D82702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6"/>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9"/>
  </w:num>
  <w:num w:numId="12">
    <w:abstractNumId w:val="15"/>
  </w:num>
  <w:num w:numId="13">
    <w:abstractNumId w:val="5"/>
  </w:num>
  <w:num w:numId="14">
    <w:abstractNumId w:val="14"/>
  </w:num>
  <w:num w:numId="15">
    <w:abstractNumId w:val="13"/>
  </w:num>
  <w:num w:numId="16">
    <w:abstractNumId w:val="2"/>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2EAA"/>
    <w:rsid w:val="00083B06"/>
    <w:rsid w:val="0008564A"/>
    <w:rsid w:val="0008721F"/>
    <w:rsid w:val="00087C76"/>
    <w:rsid w:val="00090AB1"/>
    <w:rsid w:val="000910C3"/>
    <w:rsid w:val="000979DE"/>
    <w:rsid w:val="000A335D"/>
    <w:rsid w:val="000A4279"/>
    <w:rsid w:val="000A7CEC"/>
    <w:rsid w:val="000B38D1"/>
    <w:rsid w:val="000C02BB"/>
    <w:rsid w:val="000C3EE4"/>
    <w:rsid w:val="000C68C1"/>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01A0"/>
    <w:rsid w:val="00322BBD"/>
    <w:rsid w:val="0033133F"/>
    <w:rsid w:val="00334E5C"/>
    <w:rsid w:val="003352DB"/>
    <w:rsid w:val="00341515"/>
    <w:rsid w:val="00346B72"/>
    <w:rsid w:val="003553A6"/>
    <w:rsid w:val="00360114"/>
    <w:rsid w:val="0036408B"/>
    <w:rsid w:val="0038059D"/>
    <w:rsid w:val="00380792"/>
    <w:rsid w:val="00380B22"/>
    <w:rsid w:val="00392CEA"/>
    <w:rsid w:val="003963FE"/>
    <w:rsid w:val="003A2371"/>
    <w:rsid w:val="003A32C8"/>
    <w:rsid w:val="003C06A1"/>
    <w:rsid w:val="003C1B9D"/>
    <w:rsid w:val="003D7C8E"/>
    <w:rsid w:val="003E4862"/>
    <w:rsid w:val="003F0B1C"/>
    <w:rsid w:val="003F56CD"/>
    <w:rsid w:val="003F658A"/>
    <w:rsid w:val="00400F8D"/>
    <w:rsid w:val="00407B93"/>
    <w:rsid w:val="004168C8"/>
    <w:rsid w:val="0042224B"/>
    <w:rsid w:val="00422288"/>
    <w:rsid w:val="00435248"/>
    <w:rsid w:val="0045226D"/>
    <w:rsid w:val="00471D87"/>
    <w:rsid w:val="0047282D"/>
    <w:rsid w:val="00483DAC"/>
    <w:rsid w:val="004873CD"/>
    <w:rsid w:val="00490BDE"/>
    <w:rsid w:val="0049284E"/>
    <w:rsid w:val="004A4429"/>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90DAC"/>
    <w:rsid w:val="005A0AEB"/>
    <w:rsid w:val="005A0B0C"/>
    <w:rsid w:val="005B064F"/>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177"/>
    <w:rsid w:val="006A5386"/>
    <w:rsid w:val="006A6933"/>
    <w:rsid w:val="006C0C32"/>
    <w:rsid w:val="006C2B91"/>
    <w:rsid w:val="006C4BA1"/>
    <w:rsid w:val="006C725E"/>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C3D9A"/>
    <w:rsid w:val="007D6347"/>
    <w:rsid w:val="007E0984"/>
    <w:rsid w:val="007E480C"/>
    <w:rsid w:val="007E481E"/>
    <w:rsid w:val="007F0FEF"/>
    <w:rsid w:val="007F1EDD"/>
    <w:rsid w:val="007F4395"/>
    <w:rsid w:val="008053F7"/>
    <w:rsid w:val="00810659"/>
    <w:rsid w:val="00835829"/>
    <w:rsid w:val="00852BD0"/>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A6D0B"/>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47B2"/>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6692E"/>
    <w:rsid w:val="00C72501"/>
    <w:rsid w:val="00C76A24"/>
    <w:rsid w:val="00C815B3"/>
    <w:rsid w:val="00C81A67"/>
    <w:rsid w:val="00C87FE8"/>
    <w:rsid w:val="00CA0325"/>
    <w:rsid w:val="00CA0760"/>
    <w:rsid w:val="00CA1867"/>
    <w:rsid w:val="00CB176C"/>
    <w:rsid w:val="00CB62C1"/>
    <w:rsid w:val="00CC2B40"/>
    <w:rsid w:val="00CC6CB5"/>
    <w:rsid w:val="00CC73E5"/>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402"/>
    <w:rsid w:val="00D569AD"/>
    <w:rsid w:val="00D618A9"/>
    <w:rsid w:val="00D658E9"/>
    <w:rsid w:val="00D90B9E"/>
    <w:rsid w:val="00D911C9"/>
    <w:rsid w:val="00D92EE1"/>
    <w:rsid w:val="00D95F02"/>
    <w:rsid w:val="00DA4936"/>
    <w:rsid w:val="00DB0379"/>
    <w:rsid w:val="00DD11DE"/>
    <w:rsid w:val="00DD25DB"/>
    <w:rsid w:val="00DD602A"/>
    <w:rsid w:val="00DE1C03"/>
    <w:rsid w:val="00DE45F4"/>
    <w:rsid w:val="00DF0D5E"/>
    <w:rsid w:val="00E01F8B"/>
    <w:rsid w:val="00E04AE5"/>
    <w:rsid w:val="00E10B0A"/>
    <w:rsid w:val="00E10F3D"/>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179D7"/>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19"/>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8"/>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756945226">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935C-6302-46DF-8990-B2E15D6B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9205</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2022-07-25T07:08:00Z</dcterms:created>
  <dcterms:modified xsi:type="dcterms:W3CDTF">2024-06-04T13:20:00Z</dcterms:modified>
</cp:coreProperties>
</file>