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0B84F79"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9CD9A45" w14:textId="77777777" w:rsidR="00857134" w:rsidRPr="00D83531" w:rsidRDefault="00857134" w:rsidP="009B3C19">
      <w:pPr>
        <w:pStyle w:val="Zkladntext3"/>
        <w:spacing w:after="0" w:line="240" w:lineRule="auto"/>
        <w:jc w:val="center"/>
        <w:rPr>
          <w:rFonts w:ascii="Arial Narrow" w:hAnsi="Arial Narrow" w:cs="Arial"/>
          <w:b/>
          <w:bCs/>
          <w:sz w:val="36"/>
          <w:szCs w:val="36"/>
        </w:rPr>
      </w:pPr>
    </w:p>
    <w:p w14:paraId="485C3E58" w14:textId="294F445B" w:rsidR="00AE3702" w:rsidRDefault="00857134" w:rsidP="00AE3702">
      <w:pPr>
        <w:pStyle w:val="Zkladntext3"/>
        <w:spacing w:after="0" w:line="240" w:lineRule="auto"/>
        <w:jc w:val="center"/>
        <w:rPr>
          <w:rFonts w:ascii="Arial Narrow" w:hAnsi="Arial Narrow" w:cs="Arial"/>
          <w:b/>
          <w:noProof/>
          <w:sz w:val="36"/>
          <w:szCs w:val="36"/>
          <w:lang w:eastAsia="sk-SK"/>
        </w:rPr>
      </w:pPr>
      <w:bookmarkStart w:id="0" w:name="nazov"/>
      <w:bookmarkEnd w:id="0"/>
      <w:r w:rsidRPr="00857134">
        <w:rPr>
          <w:rFonts w:ascii="Arial Narrow" w:hAnsi="Arial Narrow" w:cs="Arial"/>
          <w:b/>
          <w:noProof/>
          <w:sz w:val="36"/>
          <w:szCs w:val="36"/>
          <w:lang w:eastAsia="sk-SK"/>
        </w:rPr>
        <w:t>Motorové záchranné plavidlo 2</w:t>
      </w:r>
    </w:p>
    <w:p w14:paraId="60FE2402" w14:textId="77777777" w:rsidR="00857134" w:rsidRPr="00D83531" w:rsidRDefault="00857134" w:rsidP="00AE3702">
      <w:pPr>
        <w:pStyle w:val="Zkladntext3"/>
        <w:spacing w:after="0" w:line="240" w:lineRule="auto"/>
        <w:jc w:val="center"/>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5C30B5"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5C30B5">
        <w:rPr>
          <w:rFonts w:ascii="Arial Narrow" w:hAnsi="Arial Narrow" w:cs="Arial Narrow"/>
          <w:b/>
          <w:sz w:val="22"/>
          <w:szCs w:val="22"/>
        </w:rPr>
        <w:t xml:space="preserve">Mgr. Alexander Starčevič </w:t>
      </w:r>
    </w:p>
    <w:p w14:paraId="22531F04" w14:textId="3632A9EC" w:rsidR="00E13779" w:rsidRPr="005C30B5" w:rsidRDefault="00877A4D" w:rsidP="009B3C19">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Narrow"/>
          <w:sz w:val="22"/>
          <w:szCs w:val="22"/>
        </w:rPr>
        <w:tab/>
      </w:r>
      <w:r w:rsidR="00E13779" w:rsidRPr="005C30B5">
        <w:rPr>
          <w:rFonts w:ascii="Arial Narrow" w:hAnsi="Arial Narrow" w:cs="Arial"/>
          <w:sz w:val="22"/>
          <w:szCs w:val="22"/>
        </w:rPr>
        <w:t xml:space="preserve">odbor </w:t>
      </w:r>
      <w:r w:rsidR="005C30B5" w:rsidRPr="005C30B5">
        <w:rPr>
          <w:rFonts w:ascii="Arial Narrow" w:hAnsi="Arial Narrow" w:cs="Arial"/>
          <w:sz w:val="22"/>
          <w:szCs w:val="22"/>
        </w:rPr>
        <w:t xml:space="preserve">realizácie </w:t>
      </w:r>
      <w:r w:rsidR="00E13779" w:rsidRPr="005C30B5">
        <w:rPr>
          <w:rFonts w:ascii="Arial Narrow" w:hAnsi="Arial Narrow" w:cs="Arial"/>
          <w:sz w:val="22"/>
          <w:szCs w:val="22"/>
        </w:rPr>
        <w:t>verejného obstarávania</w:t>
      </w:r>
    </w:p>
    <w:p w14:paraId="69D99A91" w14:textId="3362534E" w:rsidR="00E13779" w:rsidRPr="00D83531" w:rsidRDefault="00D169A7" w:rsidP="005C30B5">
      <w:pPr>
        <w:pStyle w:val="Zkladntext3"/>
        <w:spacing w:after="0" w:line="240" w:lineRule="auto"/>
        <w:ind w:left="4956" w:right="-45" w:firstLine="289"/>
        <w:jc w:val="both"/>
        <w:rPr>
          <w:rFonts w:ascii="Arial Narrow" w:hAnsi="Arial Narrow" w:cs="Arial"/>
          <w:sz w:val="22"/>
          <w:szCs w:val="22"/>
        </w:rPr>
      </w:pPr>
      <w:r w:rsidRPr="005C30B5">
        <w:rPr>
          <w:rFonts w:ascii="Arial Narrow" w:hAnsi="Arial Narrow" w:cs="Arial"/>
          <w:sz w:val="22"/>
          <w:szCs w:val="22"/>
        </w:rPr>
        <w:t xml:space="preserve">Sekcia </w:t>
      </w:r>
      <w:r w:rsidR="005C30B5" w:rsidRPr="005C30B5">
        <w:rPr>
          <w:rFonts w:ascii="Arial Narrow" w:hAnsi="Arial Narrow" w:cs="Arial"/>
          <w:sz w:val="22"/>
          <w:szCs w:val="22"/>
        </w:rPr>
        <w:t>verejného obstarávania</w:t>
      </w:r>
      <w:r w:rsidRPr="005C30B5">
        <w:rPr>
          <w:rFonts w:ascii="Arial Narrow" w:hAnsi="Arial Narrow" w:cs="Arial"/>
          <w:sz w:val="22"/>
          <w:szCs w:val="22"/>
        </w:rPr>
        <w:t xml:space="preserve">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606A4DA3" w:rsidR="00F71CA5" w:rsidRPr="005C30B5"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71CA5" w:rsidRPr="005C30B5">
        <w:rPr>
          <w:rFonts w:ascii="Arial Narrow" w:hAnsi="Arial Narrow" w:cs="Arial"/>
          <w:b/>
          <w:sz w:val="22"/>
          <w:szCs w:val="22"/>
        </w:rPr>
        <w:t>p</w:t>
      </w:r>
      <w:r w:rsidR="004C3D25">
        <w:rPr>
          <w:rFonts w:ascii="Arial Narrow" w:hAnsi="Arial Narrow" w:cs="Arial"/>
          <w:b/>
          <w:sz w:val="22"/>
          <w:szCs w:val="22"/>
        </w:rPr>
        <w:t>p</w:t>
      </w:r>
      <w:r w:rsidR="00F71CA5" w:rsidRPr="005C30B5">
        <w:rPr>
          <w:rFonts w:ascii="Arial Narrow" w:hAnsi="Arial Narrow" w:cs="Arial"/>
          <w:b/>
          <w:sz w:val="22"/>
          <w:szCs w:val="22"/>
        </w:rPr>
        <w:t xml:space="preserve">lk. Ing. </w:t>
      </w:r>
      <w:r w:rsidR="005C30B5" w:rsidRPr="005C30B5">
        <w:rPr>
          <w:rFonts w:ascii="Arial Narrow" w:hAnsi="Arial Narrow" w:cs="Arial"/>
          <w:b/>
          <w:sz w:val="22"/>
          <w:szCs w:val="22"/>
        </w:rPr>
        <w:t xml:space="preserve">Adrián </w:t>
      </w:r>
      <w:proofErr w:type="spellStart"/>
      <w:r w:rsidR="005C30B5" w:rsidRPr="005C30B5">
        <w:rPr>
          <w:rFonts w:ascii="Arial Narrow" w:hAnsi="Arial Narrow" w:cs="Arial"/>
          <w:b/>
          <w:sz w:val="22"/>
          <w:szCs w:val="22"/>
        </w:rPr>
        <w:t>Mifkovič</w:t>
      </w:r>
      <w:proofErr w:type="spellEnd"/>
    </w:p>
    <w:p w14:paraId="1AE6DF18" w14:textId="77777777" w:rsidR="00F71CA5" w:rsidRPr="005C30B5" w:rsidRDefault="00F71CA5" w:rsidP="00F71CA5">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b/>
          <w:sz w:val="22"/>
          <w:szCs w:val="22"/>
        </w:rPr>
        <w:tab/>
      </w:r>
      <w:r w:rsidRPr="005C30B5">
        <w:rPr>
          <w:rFonts w:ascii="Arial Narrow" w:hAnsi="Arial Narrow" w:cs="Arial"/>
          <w:sz w:val="22"/>
          <w:szCs w:val="22"/>
        </w:rPr>
        <w:t xml:space="preserve">prezident </w:t>
      </w:r>
    </w:p>
    <w:p w14:paraId="44A60E06" w14:textId="26096407"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sz w:val="22"/>
          <w:szCs w:val="22"/>
        </w:rPr>
        <w:tab/>
        <w:t>Hasičského a záchranného zboru</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4F70CF22" w:rsidR="00877A4D" w:rsidRPr="005C30B5"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C591E" w:rsidRPr="005C30B5">
        <w:rPr>
          <w:rFonts w:ascii="Arial Narrow" w:hAnsi="Arial Narrow" w:cs="Arial"/>
          <w:b/>
          <w:sz w:val="22"/>
          <w:szCs w:val="22"/>
        </w:rPr>
        <w:t>Ing. Branislav Chlebana</w:t>
      </w:r>
    </w:p>
    <w:p w14:paraId="686035B4" w14:textId="6AD3F93E" w:rsidR="00E13779" w:rsidRPr="005C30B5" w:rsidRDefault="00877A4D" w:rsidP="009B3C19">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sz w:val="22"/>
          <w:szCs w:val="22"/>
        </w:rPr>
        <w:tab/>
      </w:r>
      <w:r w:rsidR="005C30B5" w:rsidRPr="005C30B5">
        <w:rPr>
          <w:rFonts w:ascii="Arial Narrow" w:hAnsi="Arial Narrow" w:cs="Arial"/>
          <w:sz w:val="22"/>
          <w:szCs w:val="22"/>
        </w:rPr>
        <w:t xml:space="preserve">generálny </w:t>
      </w:r>
      <w:r w:rsidR="00E13779" w:rsidRPr="005C30B5">
        <w:rPr>
          <w:rFonts w:ascii="Arial Narrow" w:hAnsi="Arial Narrow" w:cs="Arial"/>
          <w:sz w:val="22"/>
          <w:szCs w:val="22"/>
        </w:rPr>
        <w:t xml:space="preserve">riaditeľ </w:t>
      </w:r>
    </w:p>
    <w:p w14:paraId="397FC657" w14:textId="5907F1D9" w:rsidR="002E3F3C" w:rsidRDefault="005C30B5" w:rsidP="00D32001">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sz w:val="22"/>
          <w:szCs w:val="22"/>
        </w:rPr>
        <w:tab/>
        <w:t>Sekcie</w:t>
      </w:r>
      <w:r w:rsidR="00D169A7" w:rsidRPr="005C30B5">
        <w:rPr>
          <w:rFonts w:ascii="Arial Narrow" w:hAnsi="Arial Narrow" w:cs="Arial"/>
          <w:sz w:val="22"/>
          <w:szCs w:val="22"/>
        </w:rPr>
        <w:t xml:space="preserve"> </w:t>
      </w:r>
      <w:r w:rsidRPr="005C30B5">
        <w:rPr>
          <w:rFonts w:ascii="Arial Narrow" w:hAnsi="Arial Narrow" w:cs="Arial"/>
          <w:sz w:val="22"/>
          <w:szCs w:val="22"/>
        </w:rPr>
        <w:t>verejného obstarávania</w:t>
      </w:r>
      <w:r w:rsidR="00D169A7" w:rsidRPr="005C30B5">
        <w:rPr>
          <w:rFonts w:ascii="Arial Narrow" w:hAnsi="Arial Narrow" w:cs="Arial"/>
          <w:sz w:val="22"/>
          <w:szCs w:val="22"/>
        </w:rPr>
        <w:t xml:space="preserve">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5178D364"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FC591E">
        <w:rPr>
          <w:rFonts w:ascii="Arial Narrow" w:hAnsi="Arial Narrow" w:cs="Arial"/>
          <w:sz w:val="22"/>
          <w:szCs w:val="22"/>
        </w:rPr>
        <w:t>apríl 2024</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4A3D74A6" w:rsidR="00812C26" w:rsidRPr="000A35D5" w:rsidRDefault="00A0357F" w:rsidP="008B6FB6">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bookmarkStart w:id="6" w:name="SS"/>
      <w:bookmarkEnd w:id="6"/>
      <w:r w:rsidR="00857134" w:rsidRPr="00857134">
        <w:rPr>
          <w:rFonts w:ascii="Arial Narrow" w:hAnsi="Arial Narrow"/>
          <w:b/>
        </w:rPr>
        <w:t>Motorové záchranné plavidlo</w:t>
      </w:r>
      <w:r w:rsidR="00857134" w:rsidRPr="00857134">
        <w:rPr>
          <w:rFonts w:ascii="Arial Narrow" w:hAnsi="Arial Narrow"/>
        </w:rPr>
        <w:t xml:space="preserve"> </w:t>
      </w:r>
      <w:r w:rsidR="00857134" w:rsidRPr="00857134">
        <w:rPr>
          <w:rFonts w:ascii="Arial Narrow" w:hAnsi="Arial Narrow"/>
          <w:b/>
        </w:rPr>
        <w:t>2</w:t>
      </w:r>
      <w:r w:rsidR="00D2528B" w:rsidRPr="00857134">
        <w:rPr>
          <w:rFonts w:ascii="Arial Narrow" w:hAnsi="Arial Narrow" w:cs="Arial"/>
        </w:rPr>
        <w:tab/>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56DE5FD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E30ED8A" w:rsidR="00593108" w:rsidRPr="00857134"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56159402" w14:textId="0DE4E5A8" w:rsidR="00857134" w:rsidRDefault="00857134" w:rsidP="00857134">
      <w:pPr>
        <w:pStyle w:val="Zkladntext3"/>
        <w:spacing w:after="0" w:line="240" w:lineRule="auto"/>
        <w:ind w:left="567"/>
        <w:jc w:val="both"/>
        <w:rPr>
          <w:rFonts w:ascii="Arial Narrow" w:hAnsi="Arial Narrow" w:cs="Arial"/>
          <w:sz w:val="22"/>
          <w:lang w:eastAsia="sk-SK"/>
        </w:rPr>
      </w:pPr>
      <w:r w:rsidRPr="00857134">
        <w:rPr>
          <w:rFonts w:ascii="Arial Narrow" w:hAnsi="Arial Narrow" w:cs="Arial"/>
          <w:sz w:val="22"/>
          <w:lang w:eastAsia="sk-SK"/>
        </w:rPr>
        <w:t xml:space="preserve">Hasičský a záchranný zbor v Bratislave, </w:t>
      </w:r>
      <w:proofErr w:type="spellStart"/>
      <w:r w:rsidRPr="00857134">
        <w:rPr>
          <w:rFonts w:ascii="Arial Narrow" w:hAnsi="Arial Narrow" w:cs="Arial"/>
          <w:sz w:val="22"/>
          <w:lang w:eastAsia="sk-SK"/>
        </w:rPr>
        <w:t>Radlinkého</w:t>
      </w:r>
      <w:proofErr w:type="spellEnd"/>
      <w:r w:rsidRPr="00857134">
        <w:rPr>
          <w:rFonts w:ascii="Arial Narrow" w:hAnsi="Arial Narrow" w:cs="Arial"/>
          <w:sz w:val="22"/>
          <w:lang w:eastAsia="sk-SK"/>
        </w:rPr>
        <w:t xml:space="preserve"> 6, 811 07 Bratislava</w:t>
      </w:r>
    </w:p>
    <w:p w14:paraId="214B12DA" w14:textId="77777777" w:rsidR="00857134" w:rsidRPr="00282BE7" w:rsidRDefault="00857134" w:rsidP="00857134">
      <w:pPr>
        <w:pStyle w:val="Zkladntext3"/>
        <w:spacing w:after="0" w:line="240" w:lineRule="auto"/>
        <w:ind w:left="567"/>
        <w:jc w:val="both"/>
        <w:rPr>
          <w:rFonts w:ascii="Arial Narrow" w:hAnsi="Arial Narrow" w:cs="Arial"/>
          <w:sz w:val="22"/>
          <w:lang w:eastAsia="sk-SK"/>
        </w:rPr>
      </w:pP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6931496B" w:rsidR="00351196" w:rsidRPr="00D83531" w:rsidRDefault="00AE3702"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sidR="005441BB">
        <w:rPr>
          <w:rFonts w:ascii="Arial Narrow" w:hAnsi="Arial Narrow"/>
          <w:sz w:val="22"/>
          <w:szCs w:val="22"/>
        </w:rPr>
        <w:t xml:space="preserve"> </w:t>
      </w:r>
      <w:r w:rsidRPr="00AE3702">
        <w:rPr>
          <w:rFonts w:ascii="Arial Narrow" w:hAnsi="Arial Narrow"/>
          <w:sz w:val="22"/>
          <w:szCs w:val="22"/>
        </w:rPr>
        <w:t>je</w:t>
      </w:r>
      <w:r>
        <w:rPr>
          <w:rFonts w:ascii="Arial Narrow" w:hAnsi="Arial Narrow"/>
          <w:b/>
          <w:sz w:val="22"/>
          <w:szCs w:val="22"/>
        </w:rPr>
        <w:t xml:space="preserve"> </w:t>
      </w:r>
      <w:r w:rsidR="004C3D25">
        <w:rPr>
          <w:rFonts w:ascii="Arial Narrow" w:hAnsi="Arial Narrow"/>
          <w:b/>
          <w:sz w:val="22"/>
          <w:szCs w:val="22"/>
        </w:rPr>
        <w:t>1</w:t>
      </w:r>
      <w:r w:rsidR="008B6FB6" w:rsidRPr="008B6FB6">
        <w:rPr>
          <w:rFonts w:ascii="Arial Narrow" w:hAnsi="Arial Narrow"/>
          <w:b/>
          <w:sz w:val="22"/>
          <w:szCs w:val="22"/>
        </w:rPr>
        <w:t>8</w:t>
      </w:r>
      <w:r w:rsidR="005441BB" w:rsidRPr="008B6FB6">
        <w:rPr>
          <w:rFonts w:ascii="Arial Narrow" w:hAnsi="Arial Narrow"/>
          <w:b/>
          <w:sz w:val="22"/>
          <w:szCs w:val="22"/>
        </w:rPr>
        <w:t xml:space="preserve"> </w:t>
      </w:r>
      <w:r w:rsidR="00282BE7" w:rsidRPr="008B6FB6">
        <w:rPr>
          <w:rFonts w:ascii="Arial Narrow" w:hAnsi="Arial Narrow"/>
          <w:b/>
          <w:sz w:val="22"/>
          <w:szCs w:val="22"/>
        </w:rPr>
        <w:t>mesiacov</w:t>
      </w:r>
      <w:r w:rsidR="00351196" w:rsidRPr="003E088A">
        <w:rPr>
          <w:rFonts w:ascii="Arial Narrow" w:hAnsi="Arial Narrow"/>
          <w:sz w:val="22"/>
          <w:szCs w:val="22"/>
        </w:rPr>
        <w:t xml:space="preserve"> od nadobudnutia účinnosti </w:t>
      </w:r>
      <w:r w:rsidR="005441BB"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7E2F2D57" w:rsidR="00E02A1C" w:rsidRPr="00E02A1C" w:rsidRDefault="00AC249C" w:rsidP="00E02A1C">
      <w:pPr>
        <w:pStyle w:val="Zkladntext3"/>
        <w:numPr>
          <w:ilvl w:val="1"/>
          <w:numId w:val="23"/>
        </w:numPr>
        <w:spacing w:after="0" w:line="240" w:lineRule="auto"/>
        <w:ind w:left="567" w:hanging="567"/>
        <w:jc w:val="both"/>
      </w:pPr>
      <w:bookmarkStart w:id="10" w:name="financovanie"/>
      <w:bookmarkEnd w:id="10"/>
      <w:r w:rsidRPr="00AC249C">
        <w:rPr>
          <w:rFonts w:ascii="Arial Narrow" w:hAnsi="Arial Narrow" w:cs="Arial"/>
          <w:sz w:val="22"/>
        </w:rPr>
        <w:t xml:space="preserve">Predmet zákazky bude financovaný </w:t>
      </w:r>
      <w:r w:rsidR="008B6FB6">
        <w:rPr>
          <w:rFonts w:ascii="Arial Narrow" w:hAnsi="Arial Narrow" w:cs="Arial"/>
          <w:sz w:val="22"/>
        </w:rPr>
        <w:t>z</w:t>
      </w:r>
      <w:r w:rsidR="00857134">
        <w:rPr>
          <w:rFonts w:ascii="Arial Narrow" w:hAnsi="Arial Narrow" w:cs="Arial"/>
          <w:sz w:val="22"/>
        </w:rPr>
        <w:t> organizačného útvaru MV SR: Prezídia HaZZ</w:t>
      </w:r>
    </w:p>
    <w:p w14:paraId="1084EF23" w14:textId="6D0CE4E9"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857134">
        <w:rPr>
          <w:rFonts w:ascii="Arial Narrow" w:hAnsi="Arial Narrow" w:cs="Arial"/>
          <w:b/>
          <w:sz w:val="22"/>
          <w:szCs w:val="22"/>
        </w:rPr>
        <w:t>164 250,00</w:t>
      </w:r>
      <w:r w:rsidR="00857134">
        <w:rPr>
          <w:rFonts w:ascii="Arial Narrow" w:hAnsi="Arial Narrow" w:cs="Arial"/>
          <w:sz w:val="22"/>
          <w:szCs w:val="22"/>
        </w:rPr>
        <w:t xml:space="preserve"> EUR</w:t>
      </w:r>
      <w:r w:rsidR="00FC591E">
        <w:rPr>
          <w:rFonts w:ascii="Arial Narrow" w:hAnsi="Arial Narrow" w:cs="Arial"/>
          <w:sz w:val="22"/>
          <w:szCs w:val="22"/>
        </w:rPr>
        <w:t xml:space="preserve"> bez DPH.</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6"/>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514A37DA" w:rsidR="00065F6B" w:rsidRDefault="00065F6B" w:rsidP="003C0DA5">
      <w:pPr>
        <w:spacing w:after="0" w:line="240" w:lineRule="auto"/>
        <w:ind w:left="567"/>
        <w:jc w:val="both"/>
        <w:rPr>
          <w:rFonts w:ascii="Arial Narrow" w:hAnsi="Arial Narrow" w:cs="Arial"/>
          <w:sz w:val="22"/>
        </w:rPr>
      </w:pPr>
    </w:p>
    <w:p w14:paraId="781824D7" w14:textId="77777777" w:rsidR="00AE3702" w:rsidRPr="00BD2194" w:rsidRDefault="00AE3702" w:rsidP="003C0DA5">
      <w:pPr>
        <w:spacing w:after="0" w:line="240" w:lineRule="auto"/>
        <w:ind w:left="567"/>
        <w:jc w:val="both"/>
        <w:rPr>
          <w:rFonts w:ascii="Arial Narrow" w:hAnsi="Arial Narrow" w:cs="Arial"/>
          <w:sz w:val="22"/>
        </w:rPr>
      </w:pP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5" w:name="_Hlk37051248"/>
      <w:bookmarkEnd w:id="33"/>
      <w:bookmarkEnd w:id="34"/>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5"/>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6" w:name="_Hlk534982270"/>
    </w:p>
    <w:p w14:paraId="2B7E95D5" w14:textId="546A43E0"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74456A">
        <w:rPr>
          <w:rFonts w:ascii="Arial Narrow" w:hAnsi="Arial Narrow"/>
          <w:sz w:val="22"/>
          <w:szCs w:val="22"/>
        </w:rPr>
        <w:t xml:space="preserve">podľa § 56 ods. 8, 10 </w:t>
      </w:r>
      <w:r w:rsidR="006F2C9C" w:rsidRPr="003C0DA5">
        <w:rPr>
          <w:rFonts w:ascii="Arial Narrow" w:hAnsi="Arial Narrow"/>
          <w:sz w:val="22"/>
          <w:szCs w:val="22"/>
        </w:rPr>
        <w:t>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6"/>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0D83561"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74E7EA9" w14:textId="5E77D2E4" w:rsidR="0074456A" w:rsidRPr="006C2218" w:rsidRDefault="0074456A" w:rsidP="006C2218">
      <w:pPr>
        <w:numPr>
          <w:ilvl w:val="0"/>
          <w:numId w:val="10"/>
        </w:numPr>
        <w:spacing w:after="0" w:line="240" w:lineRule="auto"/>
        <w:ind w:left="993" w:hanging="426"/>
        <w:jc w:val="both"/>
        <w:rPr>
          <w:rFonts w:ascii="Arial Narrow" w:hAnsi="Arial Narrow" w:cs="Arial"/>
          <w:sz w:val="22"/>
        </w:rPr>
      </w:pPr>
      <w:bookmarkStart w:id="37" w:name="_GoBack"/>
      <w:r>
        <w:rPr>
          <w:rFonts w:ascii="Arial Narrow" w:hAnsi="Arial Narrow" w:cs="Arial"/>
          <w:sz w:val="22"/>
        </w:rPr>
        <w:t>Verejný obstarávateľ v rámci súčinnosti</w:t>
      </w:r>
      <w:r w:rsidR="006C2218">
        <w:rPr>
          <w:rFonts w:ascii="Arial Narrow" w:hAnsi="Arial Narrow" w:cs="Arial"/>
          <w:sz w:val="22"/>
        </w:rPr>
        <w:t xml:space="preserve"> vyzve úspešného uchádzača aby predložil návrh</w:t>
      </w:r>
      <w:r>
        <w:rPr>
          <w:rFonts w:ascii="Arial Narrow" w:hAnsi="Arial Narrow" w:cs="Arial"/>
          <w:sz w:val="22"/>
        </w:rPr>
        <w:t xml:space="preserve"> farebného vyhotovenia plavidla</w:t>
      </w:r>
      <w:r w:rsidR="006C2218">
        <w:rPr>
          <w:rFonts w:ascii="Arial Narrow" w:hAnsi="Arial Narrow" w:cs="Arial"/>
          <w:sz w:val="22"/>
        </w:rPr>
        <w:t xml:space="preserve"> v zmysle opisu predmetu zákazky. Finálny návrh</w:t>
      </w:r>
      <w:r>
        <w:rPr>
          <w:rFonts w:ascii="Arial Narrow" w:hAnsi="Arial Narrow" w:cs="Arial"/>
          <w:sz w:val="22"/>
        </w:rPr>
        <w:t xml:space="preserve"> musí byť schválený Prezídiom hasičského a záchranného zboru.</w:t>
      </w:r>
      <w:r w:rsidR="006C2218">
        <w:rPr>
          <w:rFonts w:ascii="Arial Narrow" w:hAnsi="Arial Narrow" w:cs="Arial"/>
          <w:sz w:val="22"/>
        </w:rPr>
        <w:t xml:space="preserve"> Lehota na predloženie návrhu bude stanovená primerane po vzájomnej dohode uchádzača s verejným obstarávateľom, nie však dlhšia ako 7 pracovných dní od doručenia výzvy na predvedenie návrhu.</w:t>
      </w:r>
    </w:p>
    <w:bookmarkEnd w:id="37"/>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9" w:name="_Toc531356116"/>
      <w:r w:rsidRPr="00BD2194">
        <w:t>Ochrana osobných údajov</w:t>
      </w:r>
      <w:bookmarkEnd w:id="39"/>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2EE1" w14:textId="77777777" w:rsidR="00A32E03" w:rsidRDefault="00A32E03" w:rsidP="00116B5E">
      <w:pPr>
        <w:spacing w:after="0" w:line="240" w:lineRule="auto"/>
      </w:pPr>
      <w:r>
        <w:separator/>
      </w:r>
    </w:p>
  </w:endnote>
  <w:endnote w:type="continuationSeparator" w:id="0">
    <w:p w14:paraId="5B0A6713" w14:textId="77777777" w:rsidR="00A32E03" w:rsidRDefault="00A32E03" w:rsidP="00116B5E">
      <w:pPr>
        <w:spacing w:after="0" w:line="240" w:lineRule="auto"/>
      </w:pPr>
      <w:r>
        <w:continuationSeparator/>
      </w:r>
    </w:p>
  </w:endnote>
  <w:endnote w:type="continuationNotice" w:id="1">
    <w:p w14:paraId="4ABD62CF" w14:textId="77777777" w:rsidR="00A32E03" w:rsidRDefault="00A32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07AED" w14:textId="77777777" w:rsidR="00A32E03" w:rsidRDefault="00A32E03" w:rsidP="00116B5E">
      <w:pPr>
        <w:spacing w:after="0" w:line="240" w:lineRule="auto"/>
      </w:pPr>
      <w:r>
        <w:separator/>
      </w:r>
    </w:p>
  </w:footnote>
  <w:footnote w:type="continuationSeparator" w:id="0">
    <w:p w14:paraId="5977F017" w14:textId="77777777" w:rsidR="00A32E03" w:rsidRDefault="00A32E03" w:rsidP="00116B5E">
      <w:pPr>
        <w:spacing w:after="0" w:line="240" w:lineRule="auto"/>
      </w:pPr>
      <w:r>
        <w:continuationSeparator/>
      </w:r>
    </w:p>
  </w:footnote>
  <w:footnote w:type="continuationNotice" w:id="1">
    <w:p w14:paraId="37DF8D9C" w14:textId="77777777" w:rsidR="00A32E03" w:rsidRDefault="00A32E0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5C0B6984" w:rsidR="003E2F9D" w:rsidRPr="008A2CA8" w:rsidRDefault="003E2F9D" w:rsidP="00373334">
    <w:pPr>
      <w:spacing w:after="0"/>
      <w:ind w:firstLine="5387"/>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 xml:space="preserve">SEKCIA </w:t>
    </w:r>
    <w:r w:rsidR="00373334">
      <w:rPr>
        <w:rFonts w:ascii="Arial Narrow" w:hAnsi="Arial Narrow"/>
        <w:sz w:val="22"/>
        <w:szCs w:val="20"/>
      </w:rPr>
      <w:t>VEREJNÉHO OBSTARÁVANIA</w:t>
    </w:r>
  </w:p>
  <w:p w14:paraId="2A8AC801" w14:textId="550B6C78" w:rsidR="003E2F9D" w:rsidRPr="008A2CA8" w:rsidRDefault="003E2F9D" w:rsidP="00373334">
    <w:pPr>
      <w:spacing w:after="0"/>
      <w:ind w:firstLine="5670"/>
      <w:rPr>
        <w:rFonts w:ascii="Arial Narrow" w:hAnsi="Arial Narrow"/>
        <w:sz w:val="22"/>
        <w:szCs w:val="20"/>
      </w:rPr>
    </w:pPr>
    <w:r w:rsidRPr="008A2CA8">
      <w:rPr>
        <w:rFonts w:ascii="Arial Narrow" w:hAnsi="Arial Narrow"/>
        <w:sz w:val="22"/>
        <w:szCs w:val="20"/>
      </w:rPr>
      <w:t xml:space="preserve">odbor </w:t>
    </w:r>
    <w:r w:rsidR="00373334">
      <w:rPr>
        <w:rFonts w:ascii="Arial Narrow" w:hAnsi="Arial Narrow"/>
        <w:sz w:val="22"/>
        <w:szCs w:val="20"/>
      </w:rPr>
      <w:t xml:space="preserve">realizácie </w:t>
    </w:r>
    <w:r w:rsidRPr="008A2CA8">
      <w:rPr>
        <w:rFonts w:ascii="Arial Narrow" w:hAnsi="Arial Narrow"/>
        <w:sz w:val="22"/>
        <w:szCs w:val="20"/>
      </w:rPr>
      <w:t>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3"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20"/>
  </w:num>
  <w:num w:numId="3">
    <w:abstractNumId w:val="35"/>
  </w:num>
  <w:num w:numId="4">
    <w:abstractNumId w:val="28"/>
  </w:num>
  <w:num w:numId="5">
    <w:abstractNumId w:val="39"/>
  </w:num>
  <w:num w:numId="6">
    <w:abstractNumId w:val="42"/>
  </w:num>
  <w:num w:numId="7">
    <w:abstractNumId w:val="7"/>
  </w:num>
  <w:num w:numId="8">
    <w:abstractNumId w:val="32"/>
  </w:num>
  <w:num w:numId="9">
    <w:abstractNumId w:val="37"/>
  </w:num>
  <w:num w:numId="10">
    <w:abstractNumId w:val="4"/>
  </w:num>
  <w:num w:numId="11">
    <w:abstractNumId w:val="27"/>
  </w:num>
  <w:num w:numId="12">
    <w:abstractNumId w:val="8"/>
  </w:num>
  <w:num w:numId="13">
    <w:abstractNumId w:val="18"/>
  </w:num>
  <w:num w:numId="14">
    <w:abstractNumId w:val="10"/>
  </w:num>
  <w:num w:numId="15">
    <w:abstractNumId w:val="40"/>
  </w:num>
  <w:num w:numId="16">
    <w:abstractNumId w:val="11"/>
  </w:num>
  <w:num w:numId="17">
    <w:abstractNumId w:val="44"/>
  </w:num>
  <w:num w:numId="18">
    <w:abstractNumId w:val="2"/>
  </w:num>
  <w:num w:numId="19">
    <w:abstractNumId w:val="29"/>
  </w:num>
  <w:num w:numId="20">
    <w:abstractNumId w:val="22"/>
  </w:num>
  <w:num w:numId="21">
    <w:abstractNumId w:val="3"/>
  </w:num>
  <w:num w:numId="22">
    <w:abstractNumId w:val="15"/>
  </w:num>
  <w:num w:numId="23">
    <w:abstractNumId w:val="1"/>
  </w:num>
  <w:num w:numId="24">
    <w:abstractNumId w:val="38"/>
  </w:num>
  <w:num w:numId="25">
    <w:abstractNumId w:val="34"/>
  </w:num>
  <w:num w:numId="26">
    <w:abstractNumId w:val="30"/>
  </w:num>
  <w:num w:numId="27">
    <w:abstractNumId w:val="31"/>
  </w:num>
  <w:num w:numId="28">
    <w:abstractNumId w:val="0"/>
  </w:num>
  <w:num w:numId="29">
    <w:abstractNumId w:val="6"/>
  </w:num>
  <w:num w:numId="30">
    <w:abstractNumId w:val="21"/>
  </w:num>
  <w:num w:numId="31">
    <w:abstractNumId w:val="45"/>
  </w:num>
  <w:num w:numId="32">
    <w:abstractNumId w:val="36"/>
  </w:num>
  <w:num w:numId="33">
    <w:abstractNumId w:val="23"/>
  </w:num>
  <w:num w:numId="34">
    <w:abstractNumId w:val="14"/>
  </w:num>
  <w:num w:numId="35">
    <w:abstractNumId w:val="9"/>
  </w:num>
  <w:num w:numId="36">
    <w:abstractNumId w:val="5"/>
  </w:num>
  <w:num w:numId="37">
    <w:abstractNumId w:val="16"/>
  </w:num>
  <w:num w:numId="38">
    <w:abstractNumId w:val="13"/>
  </w:num>
  <w:num w:numId="39">
    <w:abstractNumId w:val="12"/>
  </w:num>
  <w:num w:numId="40">
    <w:abstractNumId w:val="17"/>
  </w:num>
  <w:num w:numId="41">
    <w:abstractNumId w:val="25"/>
  </w:num>
  <w:num w:numId="42">
    <w:abstractNumId w:val="33"/>
  </w:num>
  <w:num w:numId="43">
    <w:abstractNumId w:val="24"/>
  </w:num>
  <w:num w:numId="44">
    <w:abstractNumId w:val="41"/>
  </w:num>
  <w:num w:numId="45">
    <w:abstractNumId w:val="26"/>
  </w:num>
  <w:num w:numId="46">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1E5"/>
    <w:rsid w:val="0003491A"/>
    <w:rsid w:val="0003585E"/>
    <w:rsid w:val="000366BD"/>
    <w:rsid w:val="00036CA9"/>
    <w:rsid w:val="00040DDE"/>
    <w:rsid w:val="00041145"/>
    <w:rsid w:val="00043683"/>
    <w:rsid w:val="00043999"/>
    <w:rsid w:val="00046F77"/>
    <w:rsid w:val="00050495"/>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62CA"/>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26B7"/>
    <w:rsid w:val="001E2A35"/>
    <w:rsid w:val="001E4634"/>
    <w:rsid w:val="001E51EB"/>
    <w:rsid w:val="001E74CC"/>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34"/>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3BFF"/>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3767"/>
    <w:rsid w:val="004B4339"/>
    <w:rsid w:val="004B491E"/>
    <w:rsid w:val="004C00F5"/>
    <w:rsid w:val="004C14DD"/>
    <w:rsid w:val="004C2954"/>
    <w:rsid w:val="004C3D25"/>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30B5"/>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218"/>
    <w:rsid w:val="006C2C71"/>
    <w:rsid w:val="006C550B"/>
    <w:rsid w:val="006C5AF7"/>
    <w:rsid w:val="006C78CD"/>
    <w:rsid w:val="006D26C5"/>
    <w:rsid w:val="006D4D29"/>
    <w:rsid w:val="006D4DA9"/>
    <w:rsid w:val="006D54D1"/>
    <w:rsid w:val="006D675F"/>
    <w:rsid w:val="006D6BFB"/>
    <w:rsid w:val="006E2086"/>
    <w:rsid w:val="006E4046"/>
    <w:rsid w:val="006E619E"/>
    <w:rsid w:val="006E719B"/>
    <w:rsid w:val="006F0FF2"/>
    <w:rsid w:val="006F1068"/>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07E14"/>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456A"/>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1AAF"/>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B7E52"/>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57134"/>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2E03"/>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70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591E"/>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2977709">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87DAA-0F61-4221-A494-E33ACDAB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4002</Words>
  <Characters>22815</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26764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2022-12-19T10:25:00Z</dcterms:created>
  <dcterms:modified xsi:type="dcterms:W3CDTF">2024-04-23T07:47:00Z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