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>Predmet zákazky</w:t>
      </w:r>
      <w:r>
        <w:t xml:space="preserve"> – </w:t>
      </w:r>
      <w:r w:rsidR="00122490">
        <w:t xml:space="preserve"> dvojdielna </w:t>
      </w:r>
      <w:r w:rsidR="00AE3445">
        <w:t xml:space="preserve"> kazeta</w:t>
      </w:r>
      <w:r w:rsidR="00360B33">
        <w:t xml:space="preserve"> vín</w:t>
      </w:r>
      <w:r w:rsidR="00ED7DB4">
        <w:t xml:space="preserve"> 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FD6C02" w:rsidRDefault="00FD6C02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Bližšia špecifikácia </w:t>
      </w:r>
      <w:r w:rsidR="00AE3445">
        <w:rPr>
          <w:b/>
        </w:rPr>
        <w:t>– dvoj kazeta s obsahom bieleho a červeného vína</w:t>
      </w:r>
    </w:p>
    <w:p w:rsidR="00AE3445" w:rsidRPr="00AE3445" w:rsidRDefault="00AE3445" w:rsidP="00AE3445"/>
    <w:p w:rsidR="00AE3445" w:rsidRPr="00122490" w:rsidRDefault="00122490" w:rsidP="00122490">
      <w:pPr>
        <w:pStyle w:val="Odsekzoznamu"/>
        <w:numPr>
          <w:ilvl w:val="0"/>
          <w:numId w:val="3"/>
        </w:numPr>
        <w:rPr>
          <w:b/>
        </w:rPr>
      </w:pPr>
      <w:r>
        <w:rPr>
          <w:b/>
        </w:rPr>
        <w:t>Parametre</w:t>
      </w:r>
      <w:r w:rsidR="00360B33">
        <w:rPr>
          <w:b/>
        </w:rPr>
        <w:t xml:space="preserve"> vína</w:t>
      </w:r>
      <w:r>
        <w:rPr>
          <w:b/>
        </w:rPr>
        <w:t xml:space="preserve"> </w:t>
      </w:r>
    </w:p>
    <w:p w:rsidR="00AE3445" w:rsidRDefault="00AE3445" w:rsidP="00AE3445"/>
    <w:p w:rsidR="00122490" w:rsidRPr="00122490" w:rsidRDefault="00122490" w:rsidP="00122490">
      <w:r w:rsidRPr="00122490">
        <w:rPr>
          <w:b/>
        </w:rPr>
        <w:t>Farba</w:t>
      </w:r>
      <w:r>
        <w:t xml:space="preserve"> - </w:t>
      </w:r>
      <w:r w:rsidRPr="00122490">
        <w:t>biele</w:t>
      </w:r>
    </w:p>
    <w:p w:rsidR="00122490" w:rsidRPr="00122490" w:rsidRDefault="00122490" w:rsidP="00122490">
      <w:r w:rsidRPr="00122490">
        <w:rPr>
          <w:b/>
        </w:rPr>
        <w:t>Druh</w:t>
      </w:r>
      <w:r>
        <w:t xml:space="preserve"> - </w:t>
      </w:r>
      <w:r w:rsidRPr="00122490">
        <w:t>Tiché</w:t>
      </w:r>
    </w:p>
    <w:p w:rsidR="00122490" w:rsidRPr="00122490" w:rsidRDefault="00122490" w:rsidP="00122490">
      <w:r w:rsidRPr="00122490">
        <w:rPr>
          <w:b/>
        </w:rPr>
        <w:t>Produktový rad</w:t>
      </w:r>
      <w:r>
        <w:t xml:space="preserve"> - </w:t>
      </w:r>
      <w:r w:rsidRPr="00122490">
        <w:t xml:space="preserve">Slovenské </w:t>
      </w:r>
      <w:proofErr w:type="spellStart"/>
      <w:r w:rsidRPr="00122490">
        <w:t>novošľachtence</w:t>
      </w:r>
      <w:proofErr w:type="spellEnd"/>
    </w:p>
    <w:p w:rsidR="00122490" w:rsidRPr="00122490" w:rsidRDefault="00122490" w:rsidP="00122490">
      <w:r w:rsidRPr="00122490">
        <w:rPr>
          <w:b/>
        </w:rPr>
        <w:t>Prívlastok</w:t>
      </w:r>
      <w:r>
        <w:t xml:space="preserve"> - </w:t>
      </w:r>
      <w:r w:rsidRPr="00122490">
        <w:t>Neskorý zber</w:t>
      </w:r>
    </w:p>
    <w:p w:rsidR="00122490" w:rsidRPr="00122490" w:rsidRDefault="00122490" w:rsidP="00122490">
      <w:r w:rsidRPr="00122490">
        <w:rPr>
          <w:b/>
        </w:rPr>
        <w:t>Tiché víno</w:t>
      </w:r>
      <w:r w:rsidRPr="00122490">
        <w:t xml:space="preserve"> - suché</w:t>
      </w:r>
    </w:p>
    <w:p w:rsidR="00122490" w:rsidRPr="00122490" w:rsidRDefault="00122490" w:rsidP="00122490">
      <w:r>
        <w:rPr>
          <w:b/>
        </w:rPr>
        <w:t>V</w:t>
      </w:r>
      <w:r w:rsidRPr="00122490">
        <w:rPr>
          <w:b/>
        </w:rPr>
        <w:t>inohradnícka oblasť</w:t>
      </w:r>
      <w:r>
        <w:t xml:space="preserve"> - </w:t>
      </w:r>
      <w:proofErr w:type="spellStart"/>
      <w:r w:rsidRPr="00122490">
        <w:t>Južnoslovenská</w:t>
      </w:r>
      <w:proofErr w:type="spellEnd"/>
    </w:p>
    <w:p w:rsidR="00122490" w:rsidRDefault="00122490" w:rsidP="00122490">
      <w:r>
        <w:rPr>
          <w:b/>
        </w:rPr>
        <w:t>O</w:t>
      </w:r>
      <w:r w:rsidRPr="00122490">
        <w:rPr>
          <w:b/>
        </w:rPr>
        <w:t>bsah alkoholu</w:t>
      </w:r>
      <w:r>
        <w:t xml:space="preserve"> - </w:t>
      </w:r>
      <w:r w:rsidRPr="00122490">
        <w:t xml:space="preserve">11,5 </w:t>
      </w:r>
      <w:proofErr w:type="spellStart"/>
      <w:r w:rsidRPr="00122490">
        <w:t>obj</w:t>
      </w:r>
      <w:proofErr w:type="spellEnd"/>
      <w:r w:rsidRPr="00122490">
        <w:t>. %</w:t>
      </w:r>
    </w:p>
    <w:p w:rsidR="00122490" w:rsidRDefault="00122490" w:rsidP="00122490"/>
    <w:p w:rsidR="00122490" w:rsidRDefault="00122490" w:rsidP="00122490">
      <w:pPr>
        <w:pStyle w:val="Odsekzoznamu"/>
        <w:numPr>
          <w:ilvl w:val="0"/>
          <w:numId w:val="3"/>
        </w:numPr>
        <w:rPr>
          <w:b/>
        </w:rPr>
      </w:pPr>
      <w:r w:rsidRPr="00122490">
        <w:rPr>
          <w:b/>
        </w:rPr>
        <w:t xml:space="preserve">Parametre </w:t>
      </w:r>
      <w:r w:rsidR="00360B33">
        <w:rPr>
          <w:b/>
        </w:rPr>
        <w:t>vína</w:t>
      </w:r>
    </w:p>
    <w:p w:rsidR="00122490" w:rsidRPr="00122490" w:rsidRDefault="00122490" w:rsidP="00122490">
      <w:pPr>
        <w:pStyle w:val="Odsekzoznamu"/>
        <w:rPr>
          <w:b/>
        </w:rPr>
      </w:pPr>
    </w:p>
    <w:p w:rsidR="00122490" w:rsidRPr="00122490" w:rsidRDefault="00122490" w:rsidP="00122490">
      <w:r w:rsidRPr="00122490">
        <w:rPr>
          <w:b/>
        </w:rPr>
        <w:t>Farba</w:t>
      </w:r>
      <w:r>
        <w:t xml:space="preserve"> -</w:t>
      </w:r>
      <w:r w:rsidRPr="00122490">
        <w:t>červené</w:t>
      </w:r>
    </w:p>
    <w:p w:rsidR="00122490" w:rsidRPr="00122490" w:rsidRDefault="00122490" w:rsidP="00122490">
      <w:r w:rsidRPr="00122490">
        <w:rPr>
          <w:b/>
        </w:rPr>
        <w:t>Druh</w:t>
      </w:r>
      <w:r>
        <w:t xml:space="preserve"> - </w:t>
      </w:r>
      <w:r w:rsidRPr="00122490">
        <w:t>Tiché</w:t>
      </w:r>
    </w:p>
    <w:p w:rsidR="00122490" w:rsidRPr="00122490" w:rsidRDefault="00122490" w:rsidP="00122490">
      <w:r w:rsidRPr="00122490">
        <w:rPr>
          <w:b/>
        </w:rPr>
        <w:t>Produktový rad</w:t>
      </w:r>
      <w:r>
        <w:t xml:space="preserve"> - </w:t>
      </w:r>
      <w:r w:rsidRPr="00122490">
        <w:t xml:space="preserve">Slovenské </w:t>
      </w:r>
      <w:proofErr w:type="spellStart"/>
      <w:r w:rsidRPr="00122490">
        <w:t>novošľachtence</w:t>
      </w:r>
      <w:proofErr w:type="spellEnd"/>
    </w:p>
    <w:p w:rsidR="00122490" w:rsidRPr="00122490" w:rsidRDefault="00122490" w:rsidP="00122490">
      <w:r w:rsidRPr="00122490">
        <w:rPr>
          <w:b/>
        </w:rPr>
        <w:t>Prívlastok</w:t>
      </w:r>
      <w:r>
        <w:t xml:space="preserve">- </w:t>
      </w:r>
      <w:r w:rsidRPr="00122490">
        <w:t>Bobuľový výber</w:t>
      </w:r>
    </w:p>
    <w:p w:rsidR="00122490" w:rsidRPr="00122490" w:rsidRDefault="00122490" w:rsidP="00122490">
      <w:r w:rsidRPr="00122490">
        <w:rPr>
          <w:b/>
        </w:rPr>
        <w:t>Tiché víno</w:t>
      </w:r>
      <w:r w:rsidRPr="00122490">
        <w:t xml:space="preserve"> - suché</w:t>
      </w:r>
    </w:p>
    <w:p w:rsidR="00122490" w:rsidRPr="00122490" w:rsidRDefault="00122490" w:rsidP="00122490">
      <w:r>
        <w:rPr>
          <w:b/>
        </w:rPr>
        <w:t>V</w:t>
      </w:r>
      <w:r w:rsidRPr="00122490">
        <w:rPr>
          <w:b/>
        </w:rPr>
        <w:t>inohradnícka oblasť</w:t>
      </w:r>
      <w:r>
        <w:rPr>
          <w:b/>
        </w:rPr>
        <w:t xml:space="preserve"> - </w:t>
      </w:r>
      <w:proofErr w:type="spellStart"/>
      <w:r w:rsidRPr="00122490">
        <w:t>Južnoslovenská</w:t>
      </w:r>
      <w:proofErr w:type="spellEnd"/>
    </w:p>
    <w:p w:rsidR="00122490" w:rsidRPr="00122490" w:rsidRDefault="00122490" w:rsidP="00122490">
      <w:r w:rsidRPr="00122490">
        <w:rPr>
          <w:b/>
        </w:rPr>
        <w:t>Obsah alkoholu</w:t>
      </w:r>
      <w:r>
        <w:t xml:space="preserve"> - </w:t>
      </w:r>
      <w:r w:rsidRPr="00122490">
        <w:t xml:space="preserve">14,0 </w:t>
      </w:r>
      <w:proofErr w:type="spellStart"/>
      <w:r w:rsidRPr="00122490">
        <w:t>obj</w:t>
      </w:r>
      <w:proofErr w:type="spellEnd"/>
      <w:r w:rsidRPr="00122490">
        <w:t>. %</w:t>
      </w:r>
    </w:p>
    <w:p w:rsidR="00122490" w:rsidRDefault="00122490" w:rsidP="00211C5C">
      <w:pPr>
        <w:tabs>
          <w:tab w:val="center" w:pos="7371"/>
        </w:tabs>
        <w:jc w:val="both"/>
        <w:rPr>
          <w:b/>
        </w:rPr>
      </w:pPr>
    </w:p>
    <w:p w:rsidR="00ED7DB4" w:rsidRDefault="00ED7DB4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Balenie – </w:t>
      </w:r>
      <w:r w:rsidR="00122490">
        <w:t>kazeta drevená, elegantná pevná papierová kazeta (nie recyklovaní papier)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Počet kusov – </w:t>
      </w:r>
      <w:r w:rsidR="00122490">
        <w:rPr>
          <w:b/>
        </w:rPr>
        <w:t xml:space="preserve"> </w:t>
      </w:r>
      <w:r w:rsidR="00122490" w:rsidRPr="00122490">
        <w:t>dvoj</w:t>
      </w:r>
      <w:r w:rsidR="00360B33">
        <w:t>dielna</w:t>
      </w:r>
      <w:r w:rsidR="00122490" w:rsidRPr="00122490">
        <w:t xml:space="preserve"> kazeta</w:t>
      </w:r>
      <w:r w:rsidR="00AE3445" w:rsidRPr="00122490">
        <w:t>10</w:t>
      </w:r>
      <w:r>
        <w:t xml:space="preserve"> ks</w:t>
      </w:r>
      <w:r w:rsidR="00122490">
        <w:t xml:space="preserve"> ( s obsahom 10 ks biele víno, 10ks červené víno)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Termín dodania – </w:t>
      </w:r>
      <w:r w:rsidR="00122490" w:rsidRPr="00360B33">
        <w:t>30</w:t>
      </w:r>
      <w:r w:rsidR="00FC69EC">
        <w:t>.6</w:t>
      </w:r>
      <w:r>
        <w:t>.2024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360B33" w:rsidRDefault="00360B33" w:rsidP="00211C5C">
      <w:pPr>
        <w:tabs>
          <w:tab w:val="center" w:pos="7371"/>
        </w:tabs>
        <w:jc w:val="both"/>
        <w:rPr>
          <w:b/>
        </w:rPr>
      </w:pPr>
    </w:p>
    <w:p w:rsidR="00360B33" w:rsidRDefault="00360B33" w:rsidP="00211C5C">
      <w:pPr>
        <w:tabs>
          <w:tab w:val="center" w:pos="7371"/>
        </w:tabs>
        <w:jc w:val="both"/>
        <w:rPr>
          <w:b/>
        </w:rPr>
      </w:pPr>
      <w:bookmarkStart w:id="0" w:name="_GoBack"/>
      <w:bookmarkEnd w:id="0"/>
    </w:p>
    <w:p w:rsidR="00360B33" w:rsidRDefault="00360B33" w:rsidP="00211C5C">
      <w:pPr>
        <w:tabs>
          <w:tab w:val="center" w:pos="7371"/>
        </w:tabs>
        <w:jc w:val="both"/>
        <w:rPr>
          <w:b/>
        </w:rPr>
      </w:pPr>
    </w:p>
    <w:p w:rsidR="00360B33" w:rsidRDefault="00360B33" w:rsidP="00211C5C">
      <w:pPr>
        <w:tabs>
          <w:tab w:val="center" w:pos="7371"/>
        </w:tabs>
        <w:jc w:val="both"/>
        <w:rPr>
          <w:b/>
        </w:rPr>
      </w:pPr>
    </w:p>
    <w:p w:rsidR="00360B33" w:rsidRDefault="00360B33" w:rsidP="00211C5C">
      <w:pPr>
        <w:tabs>
          <w:tab w:val="center" w:pos="7371"/>
        </w:tabs>
        <w:jc w:val="both"/>
        <w:rPr>
          <w:b/>
        </w:rPr>
      </w:pPr>
    </w:p>
    <w:p w:rsidR="00360B33" w:rsidRDefault="00360B33" w:rsidP="00211C5C">
      <w:pPr>
        <w:tabs>
          <w:tab w:val="center" w:pos="7371"/>
        </w:tabs>
        <w:jc w:val="both"/>
        <w:rPr>
          <w:b/>
        </w:rPr>
      </w:pPr>
    </w:p>
    <w:p w:rsidR="00360B33" w:rsidRDefault="00360B33" w:rsidP="00211C5C">
      <w:pPr>
        <w:tabs>
          <w:tab w:val="center" w:pos="7371"/>
        </w:tabs>
        <w:jc w:val="both"/>
        <w:rPr>
          <w:b/>
        </w:rPr>
      </w:pPr>
    </w:p>
    <w:p w:rsidR="00360B33" w:rsidRDefault="00360B33" w:rsidP="00211C5C">
      <w:pPr>
        <w:tabs>
          <w:tab w:val="center" w:pos="7371"/>
        </w:tabs>
        <w:jc w:val="both"/>
        <w:rPr>
          <w:b/>
        </w:rPr>
      </w:pPr>
    </w:p>
    <w:p w:rsidR="00360B33" w:rsidRDefault="00360B33" w:rsidP="00211C5C">
      <w:pPr>
        <w:tabs>
          <w:tab w:val="center" w:pos="7371"/>
        </w:tabs>
        <w:jc w:val="both"/>
        <w:rPr>
          <w:b/>
        </w:rPr>
      </w:pPr>
    </w:p>
    <w:p w:rsidR="00360B33" w:rsidRDefault="00360B33" w:rsidP="00211C5C">
      <w:pPr>
        <w:tabs>
          <w:tab w:val="center" w:pos="7371"/>
        </w:tabs>
        <w:jc w:val="both"/>
        <w:rPr>
          <w:b/>
        </w:rPr>
      </w:pPr>
    </w:p>
    <w:p w:rsidR="00360B33" w:rsidRDefault="00360B33" w:rsidP="00211C5C">
      <w:pPr>
        <w:tabs>
          <w:tab w:val="center" w:pos="7371"/>
        </w:tabs>
        <w:jc w:val="both"/>
        <w:rPr>
          <w:b/>
        </w:rPr>
      </w:pPr>
    </w:p>
    <w:p w:rsidR="00360B33" w:rsidRDefault="00360B33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lastRenderedPageBreak/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2F62"/>
    <w:multiLevelType w:val="hybridMultilevel"/>
    <w:tmpl w:val="A176D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112F3"/>
    <w:multiLevelType w:val="hybridMultilevel"/>
    <w:tmpl w:val="482A018E"/>
    <w:lvl w:ilvl="0" w:tplc="874AAB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22490"/>
    <w:rsid w:val="001A13A0"/>
    <w:rsid w:val="001D0CB7"/>
    <w:rsid w:val="001E0EB5"/>
    <w:rsid w:val="00207942"/>
    <w:rsid w:val="00211C5C"/>
    <w:rsid w:val="00246D1A"/>
    <w:rsid w:val="002C1EAC"/>
    <w:rsid w:val="002D5DA6"/>
    <w:rsid w:val="002F1F66"/>
    <w:rsid w:val="00360B33"/>
    <w:rsid w:val="003845BC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D49FF"/>
    <w:rsid w:val="00815D9C"/>
    <w:rsid w:val="008B6C86"/>
    <w:rsid w:val="008F5500"/>
    <w:rsid w:val="009008E8"/>
    <w:rsid w:val="00916B74"/>
    <w:rsid w:val="009648EC"/>
    <w:rsid w:val="00A03FFD"/>
    <w:rsid w:val="00A90CCD"/>
    <w:rsid w:val="00AB1700"/>
    <w:rsid w:val="00AE3445"/>
    <w:rsid w:val="00AE43AA"/>
    <w:rsid w:val="00B63A2A"/>
    <w:rsid w:val="00B90745"/>
    <w:rsid w:val="00BF4A5F"/>
    <w:rsid w:val="00BF79F9"/>
    <w:rsid w:val="00C84FD8"/>
    <w:rsid w:val="00CB4741"/>
    <w:rsid w:val="00D662A8"/>
    <w:rsid w:val="00DA640A"/>
    <w:rsid w:val="00DC3AB9"/>
    <w:rsid w:val="00E36341"/>
    <w:rsid w:val="00EB7730"/>
    <w:rsid w:val="00ED7DB4"/>
    <w:rsid w:val="00F11001"/>
    <w:rsid w:val="00F601E3"/>
    <w:rsid w:val="00FA0200"/>
    <w:rsid w:val="00FC69EC"/>
    <w:rsid w:val="00F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7C40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params-main-title">
    <w:name w:val="params-main-title"/>
    <w:basedOn w:val="Predvolenpsmoodseku"/>
    <w:rsid w:val="00AE3445"/>
  </w:style>
  <w:style w:type="character" w:customStyle="1" w:styleId="productparam-title">
    <w:name w:val="product_param-title"/>
    <w:basedOn w:val="Predvolenpsmoodseku"/>
    <w:rsid w:val="00AE3445"/>
  </w:style>
  <w:style w:type="character" w:customStyle="1" w:styleId="productparam-value">
    <w:name w:val="product_param-value"/>
    <w:basedOn w:val="Predvolenpsmoodseku"/>
    <w:rsid w:val="00AE3445"/>
  </w:style>
  <w:style w:type="character" w:customStyle="1" w:styleId="productparam-multivalue">
    <w:name w:val="product_param-multi_value"/>
    <w:basedOn w:val="Predvolenpsmoodseku"/>
    <w:rsid w:val="00AE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15</cp:revision>
  <cp:lastPrinted>2023-04-27T07:53:00Z</cp:lastPrinted>
  <dcterms:created xsi:type="dcterms:W3CDTF">2024-02-28T06:49:00Z</dcterms:created>
  <dcterms:modified xsi:type="dcterms:W3CDTF">2024-06-10T06:52:00Z</dcterms:modified>
</cp:coreProperties>
</file>