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Pr>
          <w:b/>
          <w:sz w:val="28"/>
          <w:szCs w:val="28"/>
        </w:rPr>
        <w:t>NÁVRH RÁMCOVEJ</w:t>
      </w:r>
      <w:r w:rsidR="00C54E82" w:rsidRPr="00A43101">
        <w:rPr>
          <w:b/>
          <w:sz w:val="28"/>
          <w:szCs w:val="28"/>
        </w:rPr>
        <w:t xml:space="preserve"> </w:t>
      </w:r>
      <w:r>
        <w:rPr>
          <w:b/>
          <w:sz w:val="28"/>
          <w:szCs w:val="28"/>
        </w:rPr>
        <w:t>DOHODY</w:t>
      </w:r>
      <w:r w:rsidR="00C54E82">
        <w:rPr>
          <w:b/>
          <w:sz w:val="28"/>
          <w:szCs w:val="28"/>
        </w:rPr>
        <w:t xml:space="preserve"> O POSKYTOVANÍ </w:t>
      </w:r>
      <w:r w:rsidR="00C54E82" w:rsidRPr="00A43101">
        <w:rPr>
          <w:b/>
          <w:sz w:val="28"/>
          <w:szCs w:val="28"/>
        </w:rPr>
        <w:t>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8CA1E68" w:rsidR="008D3A17" w:rsidRPr="008D3A17" w:rsidRDefault="008D3A17" w:rsidP="00FA608E">
            <w:pPr>
              <w:spacing w:after="0" w:line="360" w:lineRule="auto"/>
              <w:rPr>
                <w:rFonts w:cs="Arial"/>
                <w:szCs w:val="20"/>
              </w:rPr>
            </w:pPr>
            <w:r w:rsidRPr="008D3A17">
              <w:rPr>
                <w:rFonts w:cs="Arial"/>
              </w:rPr>
              <w:t xml:space="preserve">Ing. </w:t>
            </w:r>
            <w:r w:rsidR="00FA608E">
              <w:rPr>
                <w:rFonts w:cs="Arial"/>
              </w:rPr>
              <w:t>Daniel Benček</w:t>
            </w:r>
            <w:r w:rsidRPr="008D3A17">
              <w:rPr>
                <w:rFonts w:cs="Arial"/>
              </w:rPr>
              <w:t xml:space="preserve"> - vedúci OZ </w:t>
            </w:r>
            <w:r w:rsidR="00FA608E">
              <w:rPr>
                <w:rFonts w:cs="Arial"/>
              </w:rPr>
              <w:t>Tribeč</w:t>
            </w:r>
            <w:r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164075E0"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896324" w:rsidRPr="00896324">
        <w:rPr>
          <w:rFonts w:cs="Arial"/>
          <w:sz w:val="20"/>
          <w:szCs w:val="20"/>
        </w:rPr>
        <w:t xml:space="preserve">Služby mechanizačnými prostriedkami - </w:t>
      </w:r>
      <w:r w:rsidR="00B6786C" w:rsidRPr="00F0363A">
        <w:rPr>
          <w:rFonts w:cs="Arial"/>
          <w:sz w:val="20"/>
          <w:szCs w:val="20"/>
          <w:highlight w:val="lightGray"/>
        </w:rPr>
        <w:t xml:space="preserve">OZ  Tríbeč - </w:t>
      </w:r>
      <w:r w:rsidR="00DE67E7" w:rsidRPr="00F0363A">
        <w:rPr>
          <w:rFonts w:cs="Arial"/>
          <w:sz w:val="20"/>
          <w:szCs w:val="20"/>
          <w:highlight w:val="lightGray"/>
        </w:rPr>
        <w:t xml:space="preserve">LS </w:t>
      </w:r>
      <w:r w:rsidR="00CA3B24" w:rsidRPr="00F0363A">
        <w:rPr>
          <w:rFonts w:cs="Arial"/>
          <w:sz w:val="20"/>
          <w:szCs w:val="20"/>
          <w:highlight w:val="lightGray"/>
        </w:rPr>
        <w:t>Topoľčianky a LS Hrušov</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6E4AD94"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w:t>
      </w:r>
      <w:r w:rsidRPr="00F0363A">
        <w:rPr>
          <w:rFonts w:cs="Arial"/>
          <w:sz w:val="20"/>
          <w:szCs w:val="20"/>
          <w:highlight w:val="lightGray"/>
        </w:rPr>
        <w:t xml:space="preserve">pre územnú jednotku Lesná správa </w:t>
      </w:r>
      <w:r w:rsidR="00CA3B24" w:rsidRPr="00F0363A">
        <w:rPr>
          <w:rFonts w:cs="Arial"/>
          <w:sz w:val="20"/>
          <w:szCs w:val="20"/>
          <w:highlight w:val="lightGray"/>
        </w:rPr>
        <w:t>Topoľčianky a Hrušov</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32AB4C6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w:t>
      </w:r>
      <w:r w:rsidR="007E51AE">
        <w:rPr>
          <w:rFonts w:cs="Arial"/>
          <w:sz w:val="20"/>
          <w:szCs w:val="20"/>
        </w:rPr>
        <w:t>, preprava</w:t>
      </w:r>
      <w:r w:rsidRPr="00706B3D">
        <w:rPr>
          <w:rFonts w:cs="Arial"/>
          <w:sz w:val="20"/>
          <w:szCs w:val="20"/>
        </w:rPr>
        <w:t xml:space="preserv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22ACAD51"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6 mesiacov </w:t>
      </w:r>
      <w:r w:rsidR="005D7741" w:rsidRPr="00BF74BD">
        <w:rPr>
          <w:rFonts w:cs="Arial"/>
          <w:sz w:val="20"/>
          <w:highlight w:val="lightGray"/>
        </w:rPr>
        <w:t>odo dňa nadobudnutia účinnosti tejto dohody</w:t>
      </w:r>
      <w:r w:rsidR="002E08BF">
        <w:rPr>
          <w:rFonts w:cs="Arial"/>
          <w:sz w:val="20"/>
          <w:highlight w:val="lightGray"/>
        </w:rPr>
        <w:t>, alebo do vyčerpania počtu merných jednotiek uvedených v ,,Podrobnom rozpočte položiek“</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lastRenderedPageBreak/>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3C138134" w:rsidR="00C54E82" w:rsidRDefault="00C54E82" w:rsidP="00C54E82">
      <w:pPr>
        <w:spacing w:after="0"/>
        <w:jc w:val="both"/>
        <w:rPr>
          <w:rFonts w:cs="Arial"/>
          <w:szCs w:val="20"/>
        </w:rPr>
      </w:pPr>
    </w:p>
    <w:p w14:paraId="535074FE" w14:textId="45365154" w:rsidR="00F130EF" w:rsidRDefault="00F130EF" w:rsidP="00C54E82">
      <w:pPr>
        <w:spacing w:after="0"/>
        <w:jc w:val="both"/>
        <w:rPr>
          <w:rFonts w:cs="Arial"/>
          <w:szCs w:val="20"/>
        </w:rPr>
      </w:pPr>
    </w:p>
    <w:p w14:paraId="4FDADC61" w14:textId="57BD9315" w:rsidR="00F130EF" w:rsidRDefault="00F130EF" w:rsidP="00C54E82">
      <w:pPr>
        <w:spacing w:after="0"/>
        <w:jc w:val="both"/>
        <w:rPr>
          <w:rFonts w:cs="Arial"/>
          <w:szCs w:val="20"/>
        </w:rPr>
      </w:pPr>
    </w:p>
    <w:p w14:paraId="1EC07EE6" w14:textId="77777777" w:rsidR="00F130EF" w:rsidRPr="00A43101" w:rsidRDefault="00F130EF"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bookmarkStart w:id="0" w:name="_GoBack"/>
      <w:bookmarkEnd w:id="0"/>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34E25B3E"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r w:rsidR="007E51AE">
        <w:rPr>
          <w:rFonts w:cs="Arial"/>
          <w:sz w:val="20"/>
          <w:szCs w:val="20"/>
          <w:highlight w:val="lightGray"/>
        </w:rPr>
        <w:t xml:space="preserve"> (Podrobný rozpočet položiek)</w:t>
      </w:r>
      <w:r w:rsidRPr="0029371C">
        <w:rPr>
          <w:rFonts w:cs="Arial"/>
          <w:sz w:val="20"/>
          <w:szCs w:val="20"/>
          <w:highlight w:val="lightGray"/>
        </w:rPr>
        <w:t>.</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 xml:space="preserve">Za týmto účelom Zhotoviteľ k podpisu zmluvy spolu so zoznamom subdodávateľov predloží čestné vyhlásenie, ktorým čestne a pravdivo prehlási, že vyššie uvedené skutočnosti overil pri </w:t>
      </w:r>
      <w:r w:rsidRPr="0058726E">
        <w:rPr>
          <w:rFonts w:cs="Arial"/>
          <w:sz w:val="20"/>
          <w:szCs w:val="20"/>
        </w:rPr>
        <w:lastRenderedPageBreak/>
        <w:t>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3C796EC3" w:rsidR="00706B3D" w:rsidRPr="0029371C" w:rsidRDefault="0029371C" w:rsidP="00775024">
            <w:pPr>
              <w:tabs>
                <w:tab w:val="left" w:pos="709"/>
                <w:tab w:val="left" w:pos="5387"/>
              </w:tabs>
              <w:spacing w:after="0"/>
              <w:jc w:val="center"/>
              <w:rPr>
                <w:rFonts w:eastAsia="Calibri" w:cs="Arial"/>
                <w:b/>
                <w:szCs w:val="20"/>
              </w:rPr>
            </w:pPr>
            <w:r w:rsidRPr="0029371C">
              <w:rPr>
                <w:rFonts w:eastAsia="Calibri" w:cs="Arial"/>
                <w:b/>
                <w:szCs w:val="20"/>
              </w:rPr>
              <w:t xml:space="preserve">Ing. </w:t>
            </w:r>
            <w:r w:rsidR="00FA608E">
              <w:rPr>
                <w:rFonts w:eastAsia="Calibri" w:cs="Arial"/>
                <w:b/>
                <w:szCs w:val="20"/>
              </w:rPr>
              <w:t>Daniel Benček</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93AED" w14:textId="77777777" w:rsidR="00CF0776" w:rsidRDefault="00CF0776">
      <w:r>
        <w:separator/>
      </w:r>
    </w:p>
  </w:endnote>
  <w:endnote w:type="continuationSeparator" w:id="0">
    <w:p w14:paraId="130820FB" w14:textId="77777777" w:rsidR="00CF0776" w:rsidRDefault="00CF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420EF387"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130EF">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130EF">
                    <w:rPr>
                      <w:bCs/>
                      <w:noProof/>
                      <w:sz w:val="18"/>
                      <w:szCs w:val="18"/>
                    </w:rPr>
                    <w:t>7</w:t>
                  </w:r>
                  <w:r w:rsidRPr="007C3D49">
                    <w:rPr>
                      <w:bCs/>
                      <w:sz w:val="18"/>
                      <w:szCs w:val="18"/>
                    </w:rPr>
                    <w:fldChar w:fldCharType="end"/>
                  </w:r>
                </w:p>
              </w:tc>
            </w:tr>
          </w:tbl>
          <w:p w14:paraId="3C8412FC" w14:textId="522F1C6A" w:rsidR="00256B9D" w:rsidRDefault="00CF077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FF6FD" w14:textId="77777777" w:rsidR="00CF0776" w:rsidRDefault="00CF0776">
      <w:r>
        <w:separator/>
      </w:r>
    </w:p>
  </w:footnote>
  <w:footnote w:type="continuationSeparator" w:id="0">
    <w:p w14:paraId="15F74F2E" w14:textId="77777777" w:rsidR="00CF0776" w:rsidRDefault="00CF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56B9D" w14:paraId="14793BB4" w14:textId="77777777" w:rsidTr="007C3D49">
      <w:tc>
        <w:tcPr>
          <w:tcW w:w="1271" w:type="dxa"/>
        </w:tcPr>
        <w:p w14:paraId="22C3DFF4" w14:textId="487E5B58" w:rsidR="00256B9D" w:rsidRDefault="00256B9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B9D" w:rsidRDefault="00256B9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4E0E356" w:rsidR="00256B9D" w:rsidRPr="007C3D49" w:rsidRDefault="00F130EF" w:rsidP="007C3D49">
          <w:pPr>
            <w:pStyle w:val="Nadpis4"/>
            <w:tabs>
              <w:tab w:val="clear" w:pos="576"/>
            </w:tabs>
            <w:rPr>
              <w:color w:val="005941"/>
              <w:sz w:val="24"/>
            </w:rPr>
          </w:pPr>
          <w:r>
            <w:rPr>
              <w:color w:val="005941"/>
              <w:sz w:val="24"/>
            </w:rPr>
            <w:t>o</w:t>
          </w:r>
          <w:r w:rsidR="00256B9D">
            <w:rPr>
              <w:color w:val="005941"/>
              <w:sz w:val="24"/>
            </w:rPr>
            <w:t xml:space="preserve">rganizačná zložka OZ </w:t>
          </w:r>
          <w:r w:rsidR="007E51AE">
            <w:rPr>
              <w:color w:val="005941"/>
              <w:sz w:val="24"/>
            </w:rPr>
            <w:t>Tribeč</w:t>
          </w:r>
        </w:p>
        <w:p w14:paraId="4F73470A" w14:textId="6B3FA8D2" w:rsidR="00256B9D" w:rsidRDefault="007E51AE" w:rsidP="007C3D49">
          <w:pPr>
            <w:pStyle w:val="Nadpis4"/>
            <w:tabs>
              <w:tab w:val="clear" w:pos="576"/>
            </w:tabs>
          </w:pPr>
          <w:r>
            <w:rPr>
              <w:color w:val="005941"/>
              <w:sz w:val="24"/>
            </w:rPr>
            <w:t>Parková 7, 951 93 Topoľčianky</w:t>
          </w:r>
        </w:p>
      </w:tc>
    </w:tr>
  </w:tbl>
  <w:p w14:paraId="5DFAC86C" w14:textId="77777777" w:rsidR="00256B9D" w:rsidRDefault="00256B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D65"/>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8BF"/>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21B7"/>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1AE"/>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1D2"/>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DC1"/>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5F1"/>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86C"/>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5D4D"/>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B24"/>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0776"/>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7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4D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63A"/>
    <w:rsid w:val="00F039F9"/>
    <w:rsid w:val="00F051BB"/>
    <w:rsid w:val="00F0520A"/>
    <w:rsid w:val="00F052B3"/>
    <w:rsid w:val="00F05510"/>
    <w:rsid w:val="00F06281"/>
    <w:rsid w:val="00F070A4"/>
    <w:rsid w:val="00F11183"/>
    <w:rsid w:val="00F113BA"/>
    <w:rsid w:val="00F11B44"/>
    <w:rsid w:val="00F12D00"/>
    <w:rsid w:val="00F130DB"/>
    <w:rsid w:val="00F130EF"/>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75489-A62C-46B0-BC5E-9704456D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3004</Words>
  <Characters>17126</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20090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4</cp:revision>
  <cp:lastPrinted>2022-10-28T12:48:00Z</cp:lastPrinted>
  <dcterms:created xsi:type="dcterms:W3CDTF">2024-06-11T04:47:00Z</dcterms:created>
  <dcterms:modified xsi:type="dcterms:W3CDTF">2024-06-11T06:21:00Z</dcterms:modified>
  <cp:category>EIZ</cp:category>
</cp:coreProperties>
</file>