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 xml:space="preserve">Dr. C. </w:t>
      </w:r>
      <w:proofErr w:type="spellStart"/>
      <w:r w:rsidR="00871265" w:rsidRPr="00871265">
        <w:rPr>
          <w:color w:val="000000"/>
        </w:rPr>
        <w:t>Daxnera</w:t>
      </w:r>
      <w:proofErr w:type="spellEnd"/>
      <w:r w:rsidR="00871265" w:rsidRPr="00871265">
        <w:rPr>
          <w:color w:val="000000"/>
        </w:rPr>
        <w:t xml:space="preserve">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 xml:space="preserve">Ján </w:t>
      </w:r>
      <w:proofErr w:type="spellStart"/>
      <w:r w:rsidR="00470C45">
        <w:rPr>
          <w:color w:val="000000"/>
        </w:rPr>
        <w:t>Ragan</w:t>
      </w:r>
      <w:proofErr w:type="spellEnd"/>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3E5634">
        <w:rPr>
          <w:color w:val="000000"/>
        </w:rPr>
        <w:t>Všeobecná úverová banka</w:t>
      </w:r>
      <w:r w:rsidR="00871265" w:rsidRPr="00871265">
        <w:rPr>
          <w:color w:val="000000"/>
        </w:rPr>
        <w:t xml:space="preserve">,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r>
      <w:r w:rsidR="003E5634">
        <w:t>SK34 0200 0000 0016 6356 8056</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1A3CD5" w:rsidRPr="001A3CD5" w:rsidRDefault="00B321D0" w:rsidP="001A3CD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1A3CD5">
        <w:t>“</w:t>
      </w:r>
      <w:r w:rsidRPr="00B650E2">
        <w:t>,</w:t>
      </w:r>
      <w:r w:rsidRPr="00871265">
        <w:t xml:space="preserve"> </w:t>
      </w:r>
      <w:r w:rsidR="001A3CD5" w:rsidRPr="001A3CD5">
        <w:t>Časť D3: Interiérové vybavenie – nábytok - ZŠ Kukučínova ulica 106.</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1A3CD5" w:rsidRPr="001A3CD5">
        <w:rPr>
          <w:b/>
        </w:rPr>
        <w:t>Interiérové vybavenie – nábytok</w:t>
      </w:r>
      <w:r w:rsidR="001A3CD5">
        <w:rPr>
          <w:b/>
        </w:rPr>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8974" w:type="dxa"/>
        <w:tblCellMar>
          <w:left w:w="70" w:type="dxa"/>
          <w:right w:w="70" w:type="dxa"/>
        </w:tblCellMar>
        <w:tblLook w:val="04A0" w:firstRow="1" w:lastRow="0" w:firstColumn="1" w:lastColumn="0" w:noHBand="0" w:noVBand="1"/>
      </w:tblPr>
      <w:tblGrid>
        <w:gridCol w:w="6516"/>
        <w:gridCol w:w="1091"/>
        <w:gridCol w:w="1367"/>
      </w:tblGrid>
      <w:tr w:rsidR="005E2C65" w:rsidRPr="005E2C65" w:rsidTr="005E2C65">
        <w:trPr>
          <w:trHeight w:val="397"/>
        </w:trPr>
        <w:tc>
          <w:tcPr>
            <w:tcW w:w="6516"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5E2C65" w:rsidRPr="005E2C65" w:rsidRDefault="005E2C65">
            <w:pPr>
              <w:rPr>
                <w:b/>
                <w:bCs/>
                <w:color w:val="000000"/>
              </w:rPr>
            </w:pPr>
            <w:r w:rsidRPr="005E2C65">
              <w:rPr>
                <w:b/>
                <w:bCs/>
                <w:color w:val="000000"/>
              </w:rPr>
              <w:t> </w:t>
            </w:r>
          </w:p>
        </w:tc>
        <w:tc>
          <w:tcPr>
            <w:tcW w:w="1091" w:type="dxa"/>
            <w:tcBorders>
              <w:top w:val="single" w:sz="4" w:space="0" w:color="auto"/>
              <w:left w:val="nil"/>
              <w:bottom w:val="single" w:sz="4" w:space="0" w:color="auto"/>
              <w:right w:val="single" w:sz="4" w:space="0" w:color="auto"/>
            </w:tcBorders>
            <w:shd w:val="clear" w:color="000000" w:fill="FCD5B4"/>
            <w:vAlign w:val="center"/>
            <w:hideMark/>
          </w:tcPr>
          <w:p w:rsidR="005E2C65" w:rsidRPr="005E2C65" w:rsidRDefault="005E2C65">
            <w:pPr>
              <w:jc w:val="center"/>
              <w:rPr>
                <w:b/>
                <w:bCs/>
                <w:color w:val="000000"/>
              </w:rPr>
            </w:pPr>
            <w:r w:rsidRPr="005E2C65">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5E2C65" w:rsidRPr="005E2C65" w:rsidRDefault="005E2C65">
            <w:pPr>
              <w:jc w:val="center"/>
              <w:rPr>
                <w:b/>
                <w:bCs/>
              </w:rPr>
            </w:pPr>
            <w:r w:rsidRPr="005E2C65">
              <w:rPr>
                <w:b/>
                <w:bCs/>
              </w:rPr>
              <w:t>Požadované množstvo</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000000" w:fill="FCD5B4"/>
            <w:vAlign w:val="center"/>
            <w:hideMark/>
          </w:tcPr>
          <w:p w:rsidR="005E2C65" w:rsidRPr="005E2C65" w:rsidRDefault="005E2C65">
            <w:pPr>
              <w:rPr>
                <w:b/>
                <w:bCs/>
                <w:color w:val="000000"/>
              </w:rPr>
            </w:pPr>
            <w:r w:rsidRPr="005E2C65">
              <w:rPr>
                <w:b/>
                <w:bCs/>
                <w:color w:val="000000"/>
              </w:rPr>
              <w:t>Odborná učebňa - Polytechnická</w:t>
            </w:r>
          </w:p>
        </w:tc>
        <w:tc>
          <w:tcPr>
            <w:tcW w:w="1091" w:type="dxa"/>
            <w:tcBorders>
              <w:top w:val="nil"/>
              <w:left w:val="nil"/>
              <w:bottom w:val="single" w:sz="4" w:space="0" w:color="auto"/>
              <w:right w:val="single" w:sz="4" w:space="0" w:color="auto"/>
            </w:tcBorders>
            <w:shd w:val="clear" w:color="000000" w:fill="FCD5B4"/>
            <w:vAlign w:val="center"/>
            <w:hideMark/>
          </w:tcPr>
          <w:p w:rsidR="005E2C65" w:rsidRPr="005E2C65" w:rsidRDefault="005E2C65">
            <w:pPr>
              <w:jc w:val="both"/>
              <w:rPr>
                <w:b/>
                <w:bCs/>
                <w:color w:val="000000"/>
              </w:rPr>
            </w:pPr>
            <w:r w:rsidRPr="005E2C65">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5E2C65" w:rsidRPr="005E2C65" w:rsidRDefault="005E2C65">
            <w:pPr>
              <w:rPr>
                <w:b/>
                <w:bCs/>
              </w:rPr>
            </w:pPr>
            <w:r w:rsidRPr="005E2C65">
              <w:rPr>
                <w:b/>
                <w:bCs/>
              </w:rPr>
              <w:t> </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r w:rsidRPr="005E2C65">
              <w:t>Učiteľská katedra  so stoličkou - odborná učebňa techniky</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pPr>
            <w:proofErr w:type="spellStart"/>
            <w:r w:rsidRPr="005E2C65">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1</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r w:rsidRPr="005E2C65">
              <w:t>Pracovisko učiteľa - odborná učebňa techniky</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pPr>
            <w:r w:rsidRPr="005E2C65">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1</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r w:rsidRPr="005E2C65">
              <w:t>Kovové skrine na odkladanie náradia - odborná učebňa techniky</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pPr>
            <w:r w:rsidRPr="005E2C65">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2</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r w:rsidRPr="005E2C65">
              <w:t>Pracovisko žiaka na obrábanie dreva - odborná učebňa techniky</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pPr>
            <w:r w:rsidRPr="005E2C65">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5</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r w:rsidRPr="005E2C65">
              <w:t>Pracovisko žiaka na obrábanie kovu - odborná učebňa techniky</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pPr>
            <w:r w:rsidRPr="005E2C65">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5</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r w:rsidRPr="005E2C65">
              <w:t>Pracovisko na vŕtanie, pílenie a brúsenie</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pPr>
            <w:r w:rsidRPr="005E2C65">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3</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r w:rsidRPr="005E2C65">
              <w:t>Stolička kovová, otočná, dielenská</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pPr>
            <w:r w:rsidRPr="005E2C65">
              <w:t>ks</w:t>
            </w:r>
          </w:p>
        </w:tc>
        <w:tc>
          <w:tcPr>
            <w:tcW w:w="1367" w:type="dxa"/>
            <w:tcBorders>
              <w:top w:val="nil"/>
              <w:left w:val="nil"/>
              <w:bottom w:val="single" w:sz="4" w:space="0" w:color="auto"/>
              <w:right w:val="single" w:sz="4" w:space="0" w:color="auto"/>
            </w:tcBorders>
            <w:shd w:val="clear" w:color="auto" w:fill="auto"/>
            <w:noWrap/>
            <w:vAlign w:val="center"/>
            <w:hideMark/>
          </w:tcPr>
          <w:p w:rsidR="005E2C65" w:rsidRPr="005E2C65" w:rsidRDefault="005E2C65">
            <w:pPr>
              <w:jc w:val="center"/>
              <w:rPr>
                <w:color w:val="000000"/>
              </w:rPr>
            </w:pPr>
            <w:r w:rsidRPr="005E2C65">
              <w:rPr>
                <w:color w:val="000000"/>
              </w:rPr>
              <w:t>16</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000000" w:fill="FCD5B4"/>
            <w:vAlign w:val="center"/>
            <w:hideMark/>
          </w:tcPr>
          <w:p w:rsidR="005E2C65" w:rsidRPr="005E2C65" w:rsidRDefault="005E2C65">
            <w:pPr>
              <w:rPr>
                <w:b/>
                <w:bCs/>
                <w:color w:val="000000"/>
              </w:rPr>
            </w:pPr>
            <w:r w:rsidRPr="005E2C65">
              <w:rPr>
                <w:b/>
                <w:bCs/>
                <w:color w:val="000000"/>
              </w:rPr>
              <w:t>IKT učebňa 1 (</w:t>
            </w:r>
            <w:proofErr w:type="spellStart"/>
            <w:r w:rsidRPr="005E2C65">
              <w:rPr>
                <w:b/>
                <w:bCs/>
                <w:color w:val="000000"/>
              </w:rPr>
              <w:t>klientské</w:t>
            </w:r>
            <w:proofErr w:type="spellEnd"/>
            <w:r w:rsidRPr="005E2C65">
              <w:rPr>
                <w:b/>
                <w:bCs/>
                <w:color w:val="000000"/>
              </w:rPr>
              <w:t xml:space="preserve"> stanice) a 2 (</w:t>
            </w:r>
            <w:proofErr w:type="spellStart"/>
            <w:r w:rsidRPr="005E2C65">
              <w:rPr>
                <w:b/>
                <w:bCs/>
                <w:color w:val="000000"/>
              </w:rPr>
              <w:t>notebooková</w:t>
            </w:r>
            <w:proofErr w:type="spellEnd"/>
            <w:r w:rsidRPr="005E2C65">
              <w:rPr>
                <w:b/>
                <w:bCs/>
                <w:color w:val="000000"/>
              </w:rPr>
              <w:t>)</w:t>
            </w:r>
          </w:p>
        </w:tc>
        <w:tc>
          <w:tcPr>
            <w:tcW w:w="1091" w:type="dxa"/>
            <w:tcBorders>
              <w:top w:val="nil"/>
              <w:left w:val="nil"/>
              <w:bottom w:val="single" w:sz="4" w:space="0" w:color="auto"/>
              <w:right w:val="single" w:sz="4" w:space="0" w:color="auto"/>
            </w:tcBorders>
            <w:shd w:val="clear" w:color="000000" w:fill="FCD5B4"/>
            <w:vAlign w:val="center"/>
            <w:hideMark/>
          </w:tcPr>
          <w:p w:rsidR="005E2C65" w:rsidRPr="005E2C65" w:rsidRDefault="005E2C65">
            <w:pPr>
              <w:jc w:val="both"/>
              <w:rPr>
                <w:b/>
                <w:bCs/>
                <w:color w:val="000000"/>
              </w:rPr>
            </w:pPr>
            <w:r w:rsidRPr="005E2C65">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5E2C65" w:rsidRPr="005E2C65" w:rsidRDefault="005E2C65">
            <w:pPr>
              <w:jc w:val="center"/>
              <w:rPr>
                <w:b/>
                <w:bCs/>
              </w:rPr>
            </w:pPr>
            <w:r w:rsidRPr="005E2C65">
              <w:rPr>
                <w:b/>
                <w:bCs/>
              </w:rPr>
              <w:t> </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pPr>
              <w:rPr>
                <w:color w:val="000000"/>
              </w:rPr>
            </w:pPr>
            <w:r w:rsidRPr="005E2C65">
              <w:rPr>
                <w:color w:val="000000"/>
              </w:rPr>
              <w:t>Pracovisko učiteľa - NÁBYTOK</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2</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pPr>
              <w:rPr>
                <w:color w:val="000000"/>
              </w:rPr>
            </w:pPr>
            <w:r w:rsidRPr="005E2C65">
              <w:rPr>
                <w:color w:val="000000"/>
              </w:rPr>
              <w:t>Žiacky stôl</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32</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pPr>
              <w:rPr>
                <w:color w:val="000000"/>
              </w:rPr>
            </w:pPr>
            <w:r w:rsidRPr="005E2C65">
              <w:rPr>
                <w:color w:val="000000"/>
              </w:rPr>
              <w:t>Stolička/taburet pre žiaka</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32</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000000" w:fill="FCD5B4"/>
            <w:vAlign w:val="center"/>
            <w:hideMark/>
          </w:tcPr>
          <w:p w:rsidR="005E2C65" w:rsidRPr="005E2C65" w:rsidRDefault="005E2C65">
            <w:pPr>
              <w:rPr>
                <w:b/>
                <w:bCs/>
                <w:color w:val="000000"/>
              </w:rPr>
            </w:pPr>
            <w:r w:rsidRPr="005E2C65">
              <w:rPr>
                <w:b/>
                <w:bCs/>
                <w:color w:val="000000"/>
              </w:rPr>
              <w:t>Školská knižnica</w:t>
            </w:r>
          </w:p>
        </w:tc>
        <w:tc>
          <w:tcPr>
            <w:tcW w:w="1091" w:type="dxa"/>
            <w:tcBorders>
              <w:top w:val="nil"/>
              <w:left w:val="nil"/>
              <w:bottom w:val="single" w:sz="4" w:space="0" w:color="auto"/>
              <w:right w:val="single" w:sz="4" w:space="0" w:color="auto"/>
            </w:tcBorders>
            <w:shd w:val="clear" w:color="000000" w:fill="FCD5B4"/>
            <w:vAlign w:val="center"/>
            <w:hideMark/>
          </w:tcPr>
          <w:p w:rsidR="005E2C65" w:rsidRPr="005E2C65" w:rsidRDefault="005E2C65">
            <w:pPr>
              <w:jc w:val="both"/>
              <w:rPr>
                <w:b/>
                <w:bCs/>
                <w:color w:val="000000"/>
              </w:rPr>
            </w:pPr>
            <w:r w:rsidRPr="005E2C65">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5E2C65" w:rsidRPr="005E2C65" w:rsidRDefault="005E2C65">
            <w:pPr>
              <w:jc w:val="center"/>
              <w:rPr>
                <w:b/>
                <w:bCs/>
              </w:rPr>
            </w:pPr>
            <w:r w:rsidRPr="005E2C65">
              <w:rPr>
                <w:b/>
                <w:bCs/>
              </w:rPr>
              <w:t> </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pPr>
              <w:rPr>
                <w:color w:val="000000"/>
              </w:rPr>
            </w:pPr>
            <w:r w:rsidRPr="005E2C65">
              <w:rPr>
                <w:color w:val="000000"/>
              </w:rPr>
              <w:t>Stolička pre knihovníka</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1</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pPr>
              <w:rPr>
                <w:color w:val="000000"/>
              </w:rPr>
            </w:pPr>
            <w:r w:rsidRPr="005E2C65">
              <w:rPr>
                <w:color w:val="000000"/>
              </w:rPr>
              <w:t>Knihovnícky regál</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15</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pPr>
              <w:rPr>
                <w:color w:val="000000"/>
              </w:rPr>
            </w:pPr>
            <w:r w:rsidRPr="005E2C65">
              <w:rPr>
                <w:color w:val="000000"/>
              </w:rPr>
              <w:t>Knihovnícky regál na časopisy</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1</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pPr>
              <w:rPr>
                <w:color w:val="000000"/>
              </w:rPr>
            </w:pPr>
            <w:r w:rsidRPr="005E2C65">
              <w:rPr>
                <w:color w:val="000000"/>
              </w:rPr>
              <w:t>Stoly do študovne</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20</w:t>
            </w:r>
          </w:p>
        </w:tc>
      </w:tr>
      <w:tr w:rsidR="005E2C65" w:rsidRPr="005E2C65" w:rsidTr="005E2C65">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5E2C65" w:rsidRPr="005E2C65" w:rsidRDefault="005E2C65">
            <w:pPr>
              <w:rPr>
                <w:color w:val="000000"/>
              </w:rPr>
            </w:pPr>
            <w:r w:rsidRPr="005E2C65">
              <w:rPr>
                <w:color w:val="000000"/>
              </w:rPr>
              <w:t>Stolička do študovne</w:t>
            </w:r>
          </w:p>
        </w:tc>
        <w:tc>
          <w:tcPr>
            <w:tcW w:w="1091"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5E2C65" w:rsidRPr="005E2C65" w:rsidRDefault="005E2C65">
            <w:pPr>
              <w:jc w:val="center"/>
              <w:rPr>
                <w:color w:val="000000"/>
              </w:rPr>
            </w:pPr>
            <w:r w:rsidRPr="005E2C65">
              <w:rPr>
                <w:color w:val="000000"/>
              </w:rPr>
              <w:t>20</w:t>
            </w:r>
          </w:p>
        </w:tc>
      </w:tr>
    </w:tbl>
    <w:p w:rsidR="00531006" w:rsidRDefault="00531006" w:rsidP="00B321D0">
      <w:pPr>
        <w:spacing w:before="120"/>
        <w:ind w:left="703" w:hanging="703"/>
        <w:jc w:val="both"/>
        <w:rPr>
          <w:bCs/>
        </w:rPr>
      </w:pPr>
    </w:p>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 xml:space="preserve">Predávajúci vyhlasuje, že má potrebné vedomosti, aby mohol vykonať všetky nasledujúce vyhlásenia, a berie na vedomie, že pravdivosť a úplnosť každého </w:t>
      </w:r>
      <w:r w:rsidRPr="00B650E2">
        <w:lastRenderedPageBreak/>
        <w:t>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3E5634" w:rsidRPr="003E5634" w:rsidRDefault="001F1467" w:rsidP="003E5634">
      <w:pPr>
        <w:numPr>
          <w:ilvl w:val="1"/>
          <w:numId w:val="16"/>
        </w:numPr>
        <w:spacing w:before="120"/>
        <w:ind w:left="709" w:hanging="709"/>
        <w:jc w:val="both"/>
        <w:rPr>
          <w:b/>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3E5634" w:rsidRPr="003E5634">
        <w:rPr>
          <w:b/>
          <w:bCs/>
          <w:color w:val="333333"/>
          <w:shd w:val="clear" w:color="auto" w:fill="FFFFFF"/>
        </w:rPr>
        <w:t>Základná škola, Kukučínova ulica 106, 093 03 Vranov nad Topľou.</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lastRenderedPageBreak/>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w:t>
      </w:r>
      <w:r w:rsidRPr="00B650E2">
        <w:lastRenderedPageBreak/>
        <w:t xml:space="preserve">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lastRenderedPageBreak/>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 xml:space="preserve">Dr. C. </w:t>
      </w:r>
      <w:proofErr w:type="spellStart"/>
      <w:r w:rsidRPr="000764BC">
        <w:t>Daxnera</w:t>
      </w:r>
      <w:proofErr w:type="spellEnd"/>
      <w:r w:rsidRPr="000764BC">
        <w:t xml:space="preserve">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6014A1" w:rsidRPr="004C6C6E" w:rsidRDefault="00CA6FC0" w:rsidP="006014A1">
      <w:pPr>
        <w:spacing w:before="120"/>
        <w:ind w:left="426" w:hanging="426"/>
        <w:jc w:val="both"/>
      </w:pPr>
      <w:r>
        <w:t xml:space="preserve">9.3 </w:t>
      </w:r>
      <w:r w:rsidR="006014A1"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6014A1" w:rsidRPr="004C6C6E">
        <w:rPr>
          <w:b/>
          <w:bCs/>
        </w:rPr>
        <w:t>disponovať oprávnením na príslušné plnenie zmluvy podľa § 32 ods. 1 písm. e) zákona o verejnom obstarávaní.</w:t>
      </w:r>
      <w:r w:rsidR="006014A1" w:rsidRPr="004C6C6E">
        <w:t xml:space="preserve"> Oprávnenie dodávať tovar alebo poskytovať službu sa preukazuje vo vzťahu k tej časti k predmetu zmluvy, ktorý má subdodávateľ plniť.</w:t>
      </w:r>
    </w:p>
    <w:p w:rsidR="006014A1" w:rsidRPr="004C6C6E" w:rsidRDefault="006014A1" w:rsidP="006014A1">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6014A1" w:rsidRPr="004C6C6E" w:rsidRDefault="006014A1" w:rsidP="006014A1">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xml:space="preserve">,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4C6C6E">
        <w:t>Z.z</w:t>
      </w:r>
      <w:proofErr w:type="spellEnd"/>
      <w:r w:rsidRPr="004C6C6E">
        <w:t>..</w:t>
      </w:r>
    </w:p>
    <w:p w:rsidR="00CA6FC0" w:rsidRPr="00207DBE" w:rsidRDefault="00CA6FC0" w:rsidP="00CA6FC0">
      <w:pPr>
        <w:spacing w:before="120"/>
        <w:ind w:left="426" w:hanging="426"/>
        <w:jc w:val="both"/>
      </w:pPr>
      <w:bookmarkStart w:id="6" w:name="_GoBack"/>
      <w:bookmarkEnd w:id="6"/>
      <w:r>
        <w:t xml:space="preserve">9.4 </w:t>
      </w:r>
      <w:r w:rsidRPr="00207DBE">
        <w:t xml:space="preserve">V prípade , že  predávajúci  nedoručí  návrh  nového subdodávateľa do piatich pracovných dní odo  dňa  doručenia  žiadosti   o jeho nahradenie, resp. v lehote určenej </w:t>
      </w:r>
      <w:r w:rsidRPr="00207DBE">
        <w:lastRenderedPageBreak/>
        <w:t xml:space="preserve">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lastRenderedPageBreak/>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 xml:space="preserve">Ján </w:t>
      </w:r>
      <w:proofErr w:type="spellStart"/>
      <w:r w:rsidR="000764BC">
        <w:t>Ragan</w:t>
      </w:r>
      <w:proofErr w:type="spellEnd"/>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5E2C65" w:rsidRDefault="005E2C65"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C63" w:rsidRDefault="005B0C63" w:rsidP="007717A9">
      <w:r>
        <w:separator/>
      </w:r>
    </w:p>
  </w:endnote>
  <w:endnote w:type="continuationSeparator" w:id="0">
    <w:p w:rsidR="005B0C63" w:rsidRDefault="005B0C63"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C63" w:rsidRDefault="005B0C63" w:rsidP="007717A9">
      <w:r>
        <w:separator/>
      </w:r>
    </w:p>
  </w:footnote>
  <w:footnote w:type="continuationSeparator" w:id="0">
    <w:p w:rsidR="005B0C63" w:rsidRDefault="005B0C63"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3CD5"/>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E7CE3"/>
    <w:rsid w:val="002F6EB8"/>
    <w:rsid w:val="00302C58"/>
    <w:rsid w:val="00306564"/>
    <w:rsid w:val="00306B1E"/>
    <w:rsid w:val="003130F4"/>
    <w:rsid w:val="0033157F"/>
    <w:rsid w:val="00332628"/>
    <w:rsid w:val="003340BE"/>
    <w:rsid w:val="00364276"/>
    <w:rsid w:val="00372619"/>
    <w:rsid w:val="00392EAB"/>
    <w:rsid w:val="003A2ECF"/>
    <w:rsid w:val="003A484C"/>
    <w:rsid w:val="003A4CBF"/>
    <w:rsid w:val="003B7DCD"/>
    <w:rsid w:val="003E5634"/>
    <w:rsid w:val="003F25CD"/>
    <w:rsid w:val="00401277"/>
    <w:rsid w:val="00401E9B"/>
    <w:rsid w:val="00402BC4"/>
    <w:rsid w:val="00403429"/>
    <w:rsid w:val="00407046"/>
    <w:rsid w:val="00412D9E"/>
    <w:rsid w:val="00415621"/>
    <w:rsid w:val="00424D52"/>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B0C63"/>
    <w:rsid w:val="005D1ECC"/>
    <w:rsid w:val="005E1A55"/>
    <w:rsid w:val="005E2C65"/>
    <w:rsid w:val="005E642C"/>
    <w:rsid w:val="006014A1"/>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16D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3A64"/>
    <w:rsid w:val="00AA5DC9"/>
    <w:rsid w:val="00AF7608"/>
    <w:rsid w:val="00B22BB6"/>
    <w:rsid w:val="00B30EB1"/>
    <w:rsid w:val="00B321D0"/>
    <w:rsid w:val="00B50737"/>
    <w:rsid w:val="00B51B58"/>
    <w:rsid w:val="00B6022C"/>
    <w:rsid w:val="00B650E2"/>
    <w:rsid w:val="00B67E99"/>
    <w:rsid w:val="00B73719"/>
    <w:rsid w:val="00B74B42"/>
    <w:rsid w:val="00B7621D"/>
    <w:rsid w:val="00B76A84"/>
    <w:rsid w:val="00B92A94"/>
    <w:rsid w:val="00B9464A"/>
    <w:rsid w:val="00BA02F2"/>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368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736632665">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981427302">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31043779">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BA388-5AAC-457A-8896-43200E6B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3624</Words>
  <Characters>20658</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5</cp:revision>
  <cp:lastPrinted>2019-09-04T06:18:00Z</cp:lastPrinted>
  <dcterms:created xsi:type="dcterms:W3CDTF">2019-09-04T06:19:00Z</dcterms:created>
  <dcterms:modified xsi:type="dcterms:W3CDTF">2019-11-22T09:16:00Z</dcterms:modified>
</cp:coreProperties>
</file>