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Dr. C. Daxnera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Ján Ragan</w:t>
      </w:r>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3E5634">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r>
      <w:r w:rsidR="003E5634">
        <w:t>SK34 0200 0000 0016 6356 8056</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B400F4" w:rsidRPr="00B400F4" w:rsidRDefault="00B321D0" w:rsidP="00B400F4">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1A3CD5">
        <w:t>“</w:t>
      </w:r>
      <w:r w:rsidRPr="00B650E2">
        <w:t>,</w:t>
      </w:r>
      <w:r w:rsidRPr="00871265">
        <w:t xml:space="preserve"> </w:t>
      </w:r>
      <w:r w:rsidR="00B400F4" w:rsidRPr="00B400F4">
        <w:t>Časť D4: Didaktické pomôcky – knižničný fond - ZŠ Kukučínova ulica 106</w:t>
      </w:r>
      <w:r w:rsidR="00B400F4">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B400F4" w:rsidRPr="00B400F4">
        <w:rPr>
          <w:b/>
        </w:rPr>
        <w:t>Didaktické pomôcky – knižničný fond</w:t>
      </w:r>
      <w:r w:rsidR="00B400F4">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954" w:type="dxa"/>
        <w:tblCellMar>
          <w:left w:w="70" w:type="dxa"/>
          <w:right w:w="70" w:type="dxa"/>
        </w:tblCellMar>
        <w:tblLook w:val="04A0" w:firstRow="1" w:lastRow="0" w:firstColumn="1" w:lastColumn="0" w:noHBand="0" w:noVBand="1"/>
      </w:tblPr>
      <w:tblGrid>
        <w:gridCol w:w="6232"/>
        <w:gridCol w:w="1355"/>
        <w:gridCol w:w="1367"/>
      </w:tblGrid>
      <w:tr w:rsidR="00B400F4" w:rsidRPr="00B400F4" w:rsidTr="00B400F4">
        <w:trPr>
          <w:trHeight w:val="397"/>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400F4" w:rsidRPr="00B400F4" w:rsidRDefault="00B400F4">
            <w:pPr>
              <w:rPr>
                <w:b/>
                <w:bCs/>
                <w:color w:val="000000"/>
              </w:rPr>
            </w:pPr>
            <w:r w:rsidRPr="00B400F4">
              <w:rPr>
                <w:b/>
                <w:bCs/>
                <w:color w:val="000000"/>
              </w:rPr>
              <w:t>Školská knižnica</w:t>
            </w:r>
          </w:p>
        </w:tc>
        <w:tc>
          <w:tcPr>
            <w:tcW w:w="1355" w:type="dxa"/>
            <w:tcBorders>
              <w:top w:val="single" w:sz="4" w:space="0" w:color="auto"/>
              <w:left w:val="nil"/>
              <w:bottom w:val="single" w:sz="4" w:space="0" w:color="auto"/>
              <w:right w:val="single" w:sz="4" w:space="0" w:color="auto"/>
            </w:tcBorders>
            <w:shd w:val="clear" w:color="000000" w:fill="FCD5B4"/>
            <w:vAlign w:val="center"/>
            <w:hideMark/>
          </w:tcPr>
          <w:p w:rsidR="00B400F4" w:rsidRPr="00B400F4" w:rsidRDefault="00B400F4">
            <w:pPr>
              <w:jc w:val="center"/>
              <w:rPr>
                <w:b/>
                <w:bCs/>
                <w:color w:val="000000"/>
              </w:rPr>
            </w:pPr>
            <w:r w:rsidRPr="00B400F4">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B400F4" w:rsidRPr="00B400F4" w:rsidRDefault="00B400F4">
            <w:pPr>
              <w:jc w:val="center"/>
              <w:rPr>
                <w:b/>
                <w:bCs/>
              </w:rPr>
            </w:pPr>
            <w:r w:rsidRPr="00B400F4">
              <w:rPr>
                <w:b/>
                <w:bCs/>
              </w:rPr>
              <w:t>Požadované množstvo</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 xml:space="preserve">Digitálna učebnica Fyziky pre ZŠ a SŠ </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Pracovné listy pre ZŠ, 6.ročník</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Pracovné listy pre ZŠ, 7.ročník</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Pracovné listy pre ZŠ, 8.ročník</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Pracovné listy pre ZŠ, 9.ročník</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Fyzika - Mechanika</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Chémia</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Biológia - Ľudské telo a jeho funkcie</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Chémia - Skupenstvá látok</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Fyzika - Optika</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Matematika - Geometrické konštrukcie</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5</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pre Dopravnú výchovu</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Interaktívny vyučovací balík - Polytechnika</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Knihy pre Polytechniku</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Knihy pre povinné čítanie SJ</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Cudzojazyčné knihy a slovníky</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Knihy "Beletria "</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Knihy "Vzdelávanie učiteľov"</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Audioknihy</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Knižničný fond - 1</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Knižničný fond - 2</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000000" w:fill="D9D9D9"/>
            <w:vAlign w:val="center"/>
            <w:hideMark/>
          </w:tcPr>
          <w:p w:rsidR="00B400F4" w:rsidRPr="00B400F4" w:rsidRDefault="00B400F4">
            <w:pPr>
              <w:rPr>
                <w:color w:val="000000"/>
              </w:rPr>
            </w:pPr>
            <w:r w:rsidRPr="00B400F4">
              <w:rPr>
                <w:color w:val="000000"/>
              </w:rPr>
              <w:t>Knižničný fond - 3</w:t>
            </w:r>
          </w:p>
        </w:tc>
        <w:tc>
          <w:tcPr>
            <w:tcW w:w="1355"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000000" w:fill="D9D9D9"/>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Spoločenské hry</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Technické hry</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Robotické hry</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Hudobné nahrávky</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Nástenné portréty osobností</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20</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lastRenderedPageBreak/>
              <w:t>Skladacie školské divadielko</w:t>
            </w:r>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r w:rsidR="00B400F4" w:rsidRPr="00B400F4" w:rsidTr="00B400F4">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B400F4" w:rsidRPr="00B400F4" w:rsidRDefault="00B400F4">
            <w:pPr>
              <w:rPr>
                <w:color w:val="000000"/>
              </w:rPr>
            </w:pPr>
            <w:r w:rsidRPr="00B400F4">
              <w:rPr>
                <w:color w:val="000000"/>
              </w:rPr>
              <w:t>Divadelné kostým</w:t>
            </w:r>
            <w:r w:rsidR="005C21E8">
              <w:rPr>
                <w:color w:val="000000"/>
              </w:rPr>
              <w:t>y</w:t>
            </w:r>
            <w:bookmarkStart w:id="1" w:name="_GoBack"/>
            <w:bookmarkEnd w:id="1"/>
          </w:p>
        </w:tc>
        <w:tc>
          <w:tcPr>
            <w:tcW w:w="1355"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400F4" w:rsidRPr="00B400F4" w:rsidRDefault="00B400F4">
            <w:pPr>
              <w:jc w:val="center"/>
              <w:rPr>
                <w:color w:val="000000"/>
              </w:rPr>
            </w:pPr>
            <w:r w:rsidRPr="00B400F4">
              <w:rPr>
                <w:color w:val="000000"/>
              </w:rPr>
              <w:t>1</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2"/>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3E5634" w:rsidRPr="003E5634" w:rsidRDefault="001F1467" w:rsidP="003E5634">
      <w:pPr>
        <w:numPr>
          <w:ilvl w:val="1"/>
          <w:numId w:val="16"/>
        </w:numPr>
        <w:spacing w:before="120"/>
        <w:ind w:left="709" w:hanging="709"/>
        <w:jc w:val="both"/>
        <w:rPr>
          <w:b/>
          <w:bCs/>
        </w:rPr>
      </w:pPr>
      <w:bookmarkStart w:id="3"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3"/>
      <w:r w:rsidR="003E5634" w:rsidRPr="003E5634">
        <w:rPr>
          <w:b/>
          <w:bCs/>
          <w:color w:val="333333"/>
          <w:shd w:val="clear" w:color="auto" w:fill="FFFFFF"/>
        </w:rPr>
        <w:t>Základná škola, Kukučínova ulica 106, 093 03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w:t>
      </w:r>
      <w:r w:rsidRPr="00B650E2">
        <w:rPr>
          <w:bCs/>
        </w:rPr>
        <w:lastRenderedPageBreak/>
        <w:t xml:space="preserve">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B400F4" w:rsidRPr="006A48D5" w:rsidRDefault="00B400F4" w:rsidP="00617CDD">
      <w:pPr>
        <w:tabs>
          <w:tab w:val="right" w:pos="7371"/>
        </w:tabs>
        <w:spacing w:before="120"/>
        <w:ind w:firstLine="709"/>
        <w:jc w:val="both"/>
        <w:rPr>
          <w:bCs/>
        </w:rPr>
      </w:pPr>
      <w:r>
        <w:rPr>
          <w:bCs/>
        </w:rPr>
        <w:t>Výška DPH (10%):                                                                        EUR</w:t>
      </w:r>
      <w:r>
        <w:rPr>
          <w:bCs/>
        </w:rPr>
        <w:tab/>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 xml:space="preserve">kupujúcemu. Faktúra bude obsahovať všetky náležitosti v zmysle všeobecne záväzných právnych predpisov a ktorej prílohou bude </w:t>
      </w:r>
      <w:r w:rsidRPr="00B650E2">
        <w:lastRenderedPageBreak/>
        <w:t>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Dr. C. Daxnera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776337" w:rsidRPr="004C6C6E" w:rsidRDefault="00CA6FC0" w:rsidP="00776337">
      <w:pPr>
        <w:spacing w:before="120"/>
        <w:ind w:left="426" w:hanging="426"/>
        <w:jc w:val="both"/>
      </w:pPr>
      <w:r>
        <w:t xml:space="preserve">9.3 </w:t>
      </w:r>
      <w:r w:rsidR="00776337"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776337" w:rsidRPr="004C6C6E">
        <w:rPr>
          <w:b/>
          <w:bCs/>
        </w:rPr>
        <w:t xml:space="preserve">disponovať oprávnením na príslušné plnenie zmluvy podľa § 32 ods. 1 písm. e) zákona o </w:t>
      </w:r>
      <w:r w:rsidR="00776337" w:rsidRPr="004C6C6E">
        <w:rPr>
          <w:b/>
          <w:bCs/>
        </w:rPr>
        <w:lastRenderedPageBreak/>
        <w:t>verejnom obstarávaní.</w:t>
      </w:r>
      <w:r w:rsidR="00776337" w:rsidRPr="004C6C6E">
        <w:t xml:space="preserve"> Oprávnenie dodávať tovar alebo poskytovať službu sa preukazuje vo vzťahu k tej časti k predmetu zmluvy, ktorý má subdodávateľ plniť.</w:t>
      </w:r>
    </w:p>
    <w:p w:rsidR="00776337" w:rsidRPr="004C6C6E" w:rsidRDefault="00776337" w:rsidP="00776337">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776337" w:rsidRPr="004C6C6E" w:rsidRDefault="00776337" w:rsidP="00776337">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lastRenderedPageBreak/>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Ján Ragan</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319" w:rsidRDefault="00961319" w:rsidP="007717A9">
      <w:r>
        <w:separator/>
      </w:r>
    </w:p>
  </w:endnote>
  <w:endnote w:type="continuationSeparator" w:id="0">
    <w:p w:rsidR="00961319" w:rsidRDefault="0096131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319" w:rsidRDefault="00961319" w:rsidP="007717A9">
      <w:r>
        <w:separator/>
      </w:r>
    </w:p>
  </w:footnote>
  <w:footnote w:type="continuationSeparator" w:id="0">
    <w:p w:rsidR="00961319" w:rsidRDefault="00961319"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3CD5"/>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E7CE3"/>
    <w:rsid w:val="002F6EB8"/>
    <w:rsid w:val="00302C58"/>
    <w:rsid w:val="00306564"/>
    <w:rsid w:val="00306B1E"/>
    <w:rsid w:val="003130F4"/>
    <w:rsid w:val="0033157F"/>
    <w:rsid w:val="00332628"/>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4D52"/>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C21E8"/>
    <w:rsid w:val="005D1ECC"/>
    <w:rsid w:val="005E1A55"/>
    <w:rsid w:val="005E2C6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76337"/>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1319"/>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3A64"/>
    <w:rsid w:val="00AA5DC9"/>
    <w:rsid w:val="00AF7608"/>
    <w:rsid w:val="00B22BB6"/>
    <w:rsid w:val="00B30EB1"/>
    <w:rsid w:val="00B321D0"/>
    <w:rsid w:val="00B400F4"/>
    <w:rsid w:val="00B50737"/>
    <w:rsid w:val="00B51B58"/>
    <w:rsid w:val="00B56015"/>
    <w:rsid w:val="00B6022C"/>
    <w:rsid w:val="00B650E2"/>
    <w:rsid w:val="00B67E99"/>
    <w:rsid w:val="00B73719"/>
    <w:rsid w:val="00B74B42"/>
    <w:rsid w:val="00B7621D"/>
    <w:rsid w:val="00B76A84"/>
    <w:rsid w:val="00B92A94"/>
    <w:rsid w:val="00B9464A"/>
    <w:rsid w:val="00BA02F2"/>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B773A"/>
    <w:rsid w:val="00DD0D8C"/>
    <w:rsid w:val="00DF2E8D"/>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02EE"/>
    <w:rsid w:val="00F46995"/>
    <w:rsid w:val="00F7089D"/>
    <w:rsid w:val="00F7265F"/>
    <w:rsid w:val="00F761FC"/>
    <w:rsid w:val="00F93047"/>
    <w:rsid w:val="00F94090"/>
    <w:rsid w:val="00FB368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0BC5C"/>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736632665">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24483726">
      <w:bodyDiv w:val="1"/>
      <w:marLeft w:val="0"/>
      <w:marRight w:val="0"/>
      <w:marTop w:val="0"/>
      <w:marBottom w:val="0"/>
      <w:divBdr>
        <w:top w:val="none" w:sz="0" w:space="0" w:color="auto"/>
        <w:left w:val="none" w:sz="0" w:space="0" w:color="auto"/>
        <w:bottom w:val="none" w:sz="0" w:space="0" w:color="auto"/>
        <w:right w:val="none" w:sz="0" w:space="0" w:color="auto"/>
      </w:divBdr>
    </w:div>
    <w:div w:id="1931043779">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D065-EE14-44AF-AD48-5F24EAC6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3695</Words>
  <Characters>21064</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6</cp:revision>
  <cp:lastPrinted>2019-09-04T06:18:00Z</cp:lastPrinted>
  <dcterms:created xsi:type="dcterms:W3CDTF">2019-09-04T06:23:00Z</dcterms:created>
  <dcterms:modified xsi:type="dcterms:W3CDTF">2019-12-05T21:11:00Z</dcterms:modified>
</cp:coreProperties>
</file>