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82C8" w14:textId="5E387BF1" w:rsidR="005038B7" w:rsidRPr="005038B7" w:rsidRDefault="005038B7" w:rsidP="005038B7">
      <w:pPr>
        <w:pStyle w:val="Nadpis2"/>
        <w:jc w:val="center"/>
        <w:rPr>
          <w:sz w:val="28"/>
          <w:szCs w:val="28"/>
        </w:rPr>
      </w:pPr>
      <w:r w:rsidRPr="005038B7">
        <w:rPr>
          <w:sz w:val="28"/>
          <w:szCs w:val="28"/>
        </w:rPr>
        <w:t xml:space="preserve">Príloha č. </w:t>
      </w:r>
      <w:r w:rsidR="00AD1C2B">
        <w:rPr>
          <w:sz w:val="28"/>
          <w:szCs w:val="28"/>
        </w:rPr>
        <w:t>9</w:t>
      </w:r>
      <w:r w:rsidRPr="005038B7">
        <w:rPr>
          <w:sz w:val="28"/>
          <w:szCs w:val="28"/>
        </w:rPr>
        <w:t xml:space="preserve"> – Štandard náterov trakčných stožiarov</w:t>
      </w:r>
    </w:p>
    <w:p w14:paraId="3AF6858D" w14:textId="1E6E561B" w:rsidR="005038B7" w:rsidRDefault="005038B7" w:rsidP="005038B7">
      <w:pPr>
        <w:ind w:left="720" w:hanging="360"/>
        <w:jc w:val="both"/>
      </w:pPr>
    </w:p>
    <w:p w14:paraId="09EA0229" w14:textId="77777777" w:rsidR="005038B7" w:rsidRDefault="005038B7" w:rsidP="005038B7">
      <w:pPr>
        <w:ind w:left="720" w:hanging="360"/>
        <w:jc w:val="both"/>
      </w:pPr>
    </w:p>
    <w:p w14:paraId="4124D212" w14:textId="59D921A0" w:rsidR="00911A85" w:rsidRDefault="00911A85" w:rsidP="00523977">
      <w:pPr>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Chronologicky vypísaný postup je nasledovný:</w:t>
      </w:r>
    </w:p>
    <w:p w14:paraId="79EBECFC" w14:textId="77777777" w:rsidR="00523977" w:rsidRPr="00523977" w:rsidRDefault="00523977" w:rsidP="00523977">
      <w:pPr>
        <w:jc w:val="both"/>
        <w:rPr>
          <w:rFonts w:ascii="Times New Roman" w:eastAsia="Times New Roman" w:hAnsi="Times New Roman" w:cs="Times New Roman"/>
          <w:sz w:val="24"/>
          <w:szCs w:val="24"/>
        </w:rPr>
      </w:pPr>
    </w:p>
    <w:p w14:paraId="3C9BC332"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osadenie dopravného značenia 2 – 3 metre pred stožiar, ktorý je určený na náter ak sú na ňom umiestnené dopravné značky a následne zdemontovanie týchto značiek z predmetného stožiara. Činnosť koordinovať so správcom PTZ DPB, a.s..</w:t>
      </w:r>
    </w:p>
    <w:p w14:paraId="3E9C3A05"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sú na stožiari osadené len reklamné tabule, smetné koše či iné zariadenia a tieto neboli zdemontované ich prevádzkovateľom, tak tieto postačuje len zdemontovať a následne odovzdať DPB na uskladnenie. Činnosť koordinovať so správcom PTZ DPB, a.s..</w:t>
      </w:r>
    </w:p>
    <w:p w14:paraId="0A6A9807"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sa jedná o kombinovaný trakčný stožiar, ktorý má v spodnej časti osadený liatinový kryt drieku stožiara, je nutné v rámci prípravy stožiaru demontovať aj tieto kryty.</w:t>
      </w:r>
    </w:p>
    <w:p w14:paraId="3656FF96"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Zo stožiara následne odstrániť všetky nálepky, plagáty a taktiež všetky zvyšky zariadení, ktoré už evidentne neslúžia svojmu pôvodnému účelu. Pokiaľ sú tieto nefunkčné časti ku stožiaru privarené, tak ich požadujeme odrezať a miesto zvaru zabrúsiť.</w:t>
      </w:r>
    </w:p>
    <w:p w14:paraId="4297FC6D"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a.s..</w:t>
      </w:r>
    </w:p>
    <w:p w14:paraId="5BBBC0C1" w14:textId="6D0A4BFA"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lang w:eastAsia="sk-SK"/>
        </w:rPr>
      </w:pPr>
      <w:r w:rsidRPr="00523977">
        <w:rPr>
          <w:rFonts w:ascii="Times New Roman" w:eastAsia="Times New Roman" w:hAnsi="Times New Roman" w:cs="Times New Roman"/>
          <w:sz w:val="24"/>
          <w:szCs w:val="24"/>
        </w:rPr>
        <w:t>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t.</w:t>
      </w:r>
      <w:r w:rsidR="00CF4DD9" w:rsidRPr="00523977">
        <w:rPr>
          <w:rFonts w:ascii="Times New Roman" w:eastAsia="Times New Roman" w:hAnsi="Times New Roman" w:cs="Times New Roman"/>
          <w:sz w:val="24"/>
          <w:szCs w:val="24"/>
        </w:rPr>
        <w:t xml:space="preserve"> </w:t>
      </w:r>
      <w:r w:rsidRPr="00523977">
        <w:rPr>
          <w:rFonts w:ascii="Times New Roman" w:eastAsia="Times New Roman" w:hAnsi="Times New Roman" w:cs="Times New Roman"/>
          <w:sz w:val="24"/>
          <w:szCs w:val="24"/>
        </w:rPr>
        <w:t xml:space="preserve">j. nad prvou redukciou vydá pokyn na očistenie (opieskovanie či obrúsenie) celého stožiaru. Stupeň očistenia: </w:t>
      </w:r>
      <w:r w:rsidRPr="00523977">
        <w:rPr>
          <w:rFonts w:ascii="Times New Roman" w:eastAsia="Times New Roman" w:hAnsi="Times New Roman" w:cs="Times New Roman"/>
          <w:sz w:val="24"/>
          <w:szCs w:val="24"/>
          <w:lang w:eastAsia="sk-SK"/>
        </w:rPr>
        <w:t>Sa 2½ / Be sweeping</w:t>
      </w:r>
      <w:r w:rsidR="00EB005B">
        <w:rPr>
          <w:rFonts w:ascii="Times New Roman" w:eastAsia="Times New Roman" w:hAnsi="Times New Roman" w:cs="Times New Roman"/>
          <w:sz w:val="24"/>
          <w:szCs w:val="24"/>
          <w:lang w:eastAsia="sk-SK"/>
        </w:rPr>
        <w:t>.</w:t>
      </w:r>
    </w:p>
    <w:p w14:paraId="4CDEA02D" w14:textId="77777777" w:rsidR="00911A85" w:rsidRPr="00523977"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ide o kombinovaný trakčný stožiar s liatinovým krytom, tak predmetom očistenia je samozrejme aj tento kryt a to z oboch strán. Taktiež je predmetom očistenia aj výložník verejného osvetlenia.</w:t>
      </w:r>
    </w:p>
    <w:p w14:paraId="13B3C60D" w14:textId="445AEB6B" w:rsidR="00911A85"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Pokiaľ je na trakčnom stožiari alebo kombinovanom trakčnom stožiari osadená oceľová konštrukcia, ktorá nesie napr. výzbroj napájacieho bodu alebo výzbroj úsekového deliča, prípadne je na stožiari osaden</w:t>
      </w:r>
      <w:r w:rsidR="006769BB">
        <w:rPr>
          <w:rFonts w:ascii="Times New Roman" w:eastAsia="Times New Roman" w:hAnsi="Times New Roman" w:cs="Times New Roman"/>
          <w:sz w:val="24"/>
          <w:szCs w:val="24"/>
        </w:rPr>
        <w:t>é iné zariadenie slúžiace ET alebo TT, tak</w:t>
      </w:r>
      <w:r w:rsidRPr="00523977">
        <w:rPr>
          <w:rFonts w:ascii="Times New Roman" w:eastAsia="Times New Roman" w:hAnsi="Times New Roman" w:cs="Times New Roman"/>
          <w:sz w:val="24"/>
          <w:szCs w:val="24"/>
        </w:rPr>
        <w:t xml:space="preserve"> sú predmetom čistenia aj tieto oceľové konštrukcie.</w:t>
      </w:r>
    </w:p>
    <w:p w14:paraId="5F3607BA" w14:textId="790BB7AC" w:rsidR="006769BB" w:rsidRPr="00523977" w:rsidRDefault="006769BB"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Pokiaľ je na trakčnom stožiari</w:t>
      </w:r>
      <w:r w:rsidRPr="006769BB">
        <w:rPr>
          <w:rFonts w:ascii="Times New Roman" w:eastAsia="Times New Roman" w:hAnsi="Times New Roman" w:cs="Times New Roman"/>
          <w:sz w:val="24"/>
          <w:szCs w:val="24"/>
        </w:rPr>
        <w:t xml:space="preserve"> </w:t>
      </w:r>
      <w:r w:rsidRPr="00523977">
        <w:rPr>
          <w:rFonts w:ascii="Times New Roman" w:eastAsia="Times New Roman" w:hAnsi="Times New Roman" w:cs="Times New Roman"/>
          <w:sz w:val="24"/>
          <w:szCs w:val="24"/>
        </w:rPr>
        <w:t>alebo kombinovanom trakčnom stožiari</w:t>
      </w:r>
      <w:r>
        <w:rPr>
          <w:rFonts w:ascii="Times New Roman" w:eastAsia="Times New Roman" w:hAnsi="Times New Roman" w:cs="Times New Roman"/>
          <w:sz w:val="24"/>
          <w:szCs w:val="24"/>
        </w:rPr>
        <w:t xml:space="preserve"> osadený </w:t>
      </w:r>
      <w:r w:rsidRPr="006769BB">
        <w:rPr>
          <w:rFonts w:ascii="Times New Roman" w:eastAsia="Times New Roman" w:hAnsi="Times New Roman" w:cs="Times New Roman"/>
          <w:b/>
          <w:bCs/>
          <w:sz w:val="24"/>
          <w:szCs w:val="24"/>
        </w:rPr>
        <w:t>oceľový výložník nesúci trolejové vedenie, tak takýto výložník sa neošetruje – nečistí a následne ani nenatiera!!!</w:t>
      </w:r>
      <w:r>
        <w:rPr>
          <w:rFonts w:ascii="Times New Roman" w:eastAsia="Times New Roman" w:hAnsi="Times New Roman" w:cs="Times New Roman"/>
          <w:sz w:val="24"/>
          <w:szCs w:val="24"/>
        </w:rPr>
        <w:t xml:space="preserve"> Bude v rámci údržby nahradený plastovým výložníkom.</w:t>
      </w:r>
    </w:p>
    <w:p w14:paraId="6DB598E5" w14:textId="5E0FBC8C" w:rsidR="00131CED" w:rsidRPr="000E57B9"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523977">
        <w:rPr>
          <w:rFonts w:ascii="Times New Roman" w:eastAsia="Times New Roman" w:hAnsi="Times New Roman" w:cs="Times New Roman"/>
          <w:sz w:val="24"/>
          <w:szCs w:val="24"/>
        </w:rPr>
        <w:t>Po očistení je možné pristúpiť ku realizácii jednotlivých vrstiev náteru nasledovne:</w:t>
      </w:r>
    </w:p>
    <w:p w14:paraId="36F12D5C" w14:textId="7E3177D1"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23977">
        <w:rPr>
          <w:rFonts w:ascii="Times New Roman" w:hAnsi="Times New Roman" w:cs="Times New Roman"/>
          <w:sz w:val="24"/>
          <w:szCs w:val="24"/>
        </w:rPr>
        <w:t xml:space="preserve">vrstva (základný náter) musí byť vyhotovená generickým typom náterovej látky - epoxidová - mastik vysokosušinový (EPm(HS)) (minimálne 80% objemových) tak, aby po vysušení bola hrúbka vrstvy minimálne 100 mikro </w:t>
      </w:r>
      <w:r w:rsidR="00D416AB">
        <w:rPr>
          <w:rFonts w:ascii="Times New Roman" w:hAnsi="Times New Roman" w:cs="Times New Roman"/>
          <w:sz w:val="24"/>
          <w:szCs w:val="24"/>
        </w:rPr>
        <w:t xml:space="preserve">– </w:t>
      </w:r>
      <w:r w:rsidRPr="00523977">
        <w:rPr>
          <w:rFonts w:ascii="Times New Roman" w:hAnsi="Times New Roman" w:cs="Times New Roman"/>
          <w:sz w:val="24"/>
          <w:szCs w:val="24"/>
        </w:rPr>
        <w:t xml:space="preserve">metrov. Požadovaný odtieň farby – </w:t>
      </w:r>
      <w:r w:rsidR="007B52A1">
        <w:rPr>
          <w:rFonts w:ascii="Times New Roman" w:hAnsi="Times New Roman" w:cs="Times New Roman"/>
          <w:sz w:val="24"/>
          <w:szCs w:val="24"/>
        </w:rPr>
        <w:t>svetlo sivá</w:t>
      </w:r>
      <w:r w:rsidRPr="00523977">
        <w:rPr>
          <w:rFonts w:ascii="Times New Roman" w:hAnsi="Times New Roman" w:cs="Times New Roman"/>
          <w:sz w:val="24"/>
          <w:szCs w:val="24"/>
        </w:rPr>
        <w:t xml:space="preserve"> (RAL </w:t>
      </w:r>
      <w:r w:rsidR="007B52A1">
        <w:rPr>
          <w:rFonts w:ascii="Times New Roman" w:hAnsi="Times New Roman" w:cs="Times New Roman"/>
          <w:sz w:val="24"/>
          <w:szCs w:val="24"/>
        </w:rPr>
        <w:t>7035</w:t>
      </w:r>
      <w:r w:rsidRPr="00523977">
        <w:rPr>
          <w:rFonts w:ascii="Times New Roman" w:hAnsi="Times New Roman" w:cs="Times New Roman"/>
          <w:sz w:val="24"/>
          <w:szCs w:val="24"/>
        </w:rPr>
        <w:t>)</w:t>
      </w:r>
      <w:r w:rsidR="00EB005B">
        <w:rPr>
          <w:rFonts w:ascii="Times New Roman" w:hAnsi="Times New Roman" w:cs="Times New Roman"/>
          <w:sz w:val="24"/>
          <w:szCs w:val="24"/>
        </w:rPr>
        <w:t>.</w:t>
      </w:r>
    </w:p>
    <w:p w14:paraId="5D65FCC9" w14:textId="11346960" w:rsidR="00131CED" w:rsidRPr="00523977" w:rsidRDefault="00131CED" w:rsidP="000E57B9">
      <w:pPr>
        <w:pStyle w:val="Odsekzoznamu"/>
        <w:numPr>
          <w:ilvl w:val="0"/>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t xml:space="preserve">2. </w:t>
      </w:r>
      <w:r w:rsidRPr="00523977">
        <w:rPr>
          <w:rFonts w:ascii="Times New Roman" w:hAnsi="Times New Roman" w:cs="Times New Roman"/>
          <w:sz w:val="24"/>
          <w:szCs w:val="24"/>
        </w:rPr>
        <w:t>vrstva (medzivrstvový náter) musí byť vyhotovená tak isto ako 1. vrstva (min. 100 mikro – metrov). Požadovaný odtieň je nutné prispôsobiť požadovanému odtieňu vrchného náteru.</w:t>
      </w:r>
    </w:p>
    <w:p w14:paraId="2C9F871C" w14:textId="3DC7293B" w:rsidR="00131CED" w:rsidRPr="00523977" w:rsidRDefault="0031207C" w:rsidP="000E57B9">
      <w:pPr>
        <w:pStyle w:val="Odsekzoznamu"/>
        <w:numPr>
          <w:ilvl w:val="0"/>
          <w:numId w:val="8"/>
        </w:numPr>
        <w:spacing w:after="160"/>
        <w:ind w:left="1276"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00131CED" w:rsidRPr="00523977">
        <w:rPr>
          <w:rFonts w:ascii="Times New Roman" w:hAnsi="Times New Roman" w:cs="Times New Roman"/>
          <w:sz w:val="24"/>
          <w:szCs w:val="24"/>
        </w:rPr>
        <w:t>vrstva (vrchný náter) musí byť vyhotovená taktiež generickým typom náterovej látky – polyuretánová farba (PUR) tak, aby po vysušení bola hrúbka vrstvy minimálne 80 mikro – metrov. Požadovaný odtieň bude určený podľa lokality správcom PTZ DPB, a.s.</w:t>
      </w:r>
      <w:r w:rsidR="007B52A1">
        <w:rPr>
          <w:rFonts w:ascii="Times New Roman" w:hAnsi="Times New Roman" w:cs="Times New Roman"/>
          <w:sz w:val="24"/>
          <w:szCs w:val="24"/>
        </w:rPr>
        <w:t>, spravidla antracitovo šedá RAL 7016.</w:t>
      </w:r>
    </w:p>
    <w:p w14:paraId="7F0EF9B6" w14:textId="2D65AD28"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Realizácia náterového systému musí byť zhotoviteľom priebežne kontrolovaná odborným personálom. Personál, ktorý vykonáva kontrolu, musí byť k</w:t>
      </w:r>
      <w:r w:rsidR="005D3AEC">
        <w:rPr>
          <w:rFonts w:ascii="Times New Roman" w:hAnsi="Times New Roman" w:cs="Times New Roman"/>
          <w:sz w:val="24"/>
          <w:szCs w:val="24"/>
        </w:rPr>
        <w:t> </w:t>
      </w:r>
      <w:r w:rsidRPr="00523977">
        <w:rPr>
          <w:rFonts w:ascii="Times New Roman" w:hAnsi="Times New Roman" w:cs="Times New Roman"/>
          <w:sz w:val="24"/>
          <w:szCs w:val="24"/>
        </w:rPr>
        <w:t>tomu</w:t>
      </w:r>
      <w:r w:rsidR="005D3AEC">
        <w:rPr>
          <w:rFonts w:ascii="Times New Roman" w:hAnsi="Times New Roman" w:cs="Times New Roman"/>
          <w:sz w:val="24"/>
          <w:szCs w:val="24"/>
        </w:rPr>
        <w:t xml:space="preserve"> </w:t>
      </w:r>
      <w:r w:rsidRPr="00523977">
        <w:rPr>
          <w:rFonts w:ascii="Times New Roman" w:hAnsi="Times New Roman" w:cs="Times New Roman"/>
          <w:sz w:val="24"/>
          <w:szCs w:val="24"/>
        </w:rPr>
        <w:t>oprávnený a odborne kvalifikovaný, napr.</w:t>
      </w:r>
      <w:r w:rsidR="005D3AEC">
        <w:rPr>
          <w:rFonts w:ascii="Times New Roman" w:hAnsi="Times New Roman" w:cs="Times New Roman"/>
          <w:sz w:val="24"/>
          <w:szCs w:val="24"/>
        </w:rPr>
        <w:t xml:space="preserve"> </w:t>
      </w:r>
      <w:r w:rsidRPr="00523977">
        <w:rPr>
          <w:rFonts w:ascii="Times New Roman" w:hAnsi="Times New Roman" w:cs="Times New Roman"/>
          <w:sz w:val="24"/>
          <w:szCs w:val="24"/>
        </w:rPr>
        <w:t>korózny inžinier, náterový technik, inšpektor  FROSIO  v súlade  s NS  476  alebo  ekvivalent.</w:t>
      </w:r>
    </w:p>
    <w:p w14:paraId="7C8EB253" w14:textId="77777777"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Ku každému natretému stožiaru vyhotoví zhotoviteľ certifikát v ktorom deklaruje dodržanie požadovaného technologického postupu a namerané skutočné hodnoty hrúbky jednotlivých vrstiev.</w:t>
      </w:r>
    </w:p>
    <w:p w14:paraId="095C1A0F" w14:textId="77777777"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Náterový systém musí vyhovovať pre životnosť „vysokú“  t. j. viac ako 15 rokov.</w:t>
      </w:r>
    </w:p>
    <w:p w14:paraId="2D606753" w14:textId="48D9F8BC" w:rsidR="00131CED" w:rsidRPr="00523977" w:rsidRDefault="00131CED" w:rsidP="000E57B9">
      <w:pPr>
        <w:pStyle w:val="Odsekzoznamu"/>
        <w:numPr>
          <w:ilvl w:val="2"/>
          <w:numId w:val="8"/>
        </w:numPr>
        <w:spacing w:after="160"/>
        <w:ind w:left="1276" w:hanging="283"/>
        <w:jc w:val="both"/>
        <w:rPr>
          <w:rFonts w:ascii="Times New Roman" w:hAnsi="Times New Roman" w:cs="Times New Roman"/>
          <w:sz w:val="24"/>
          <w:szCs w:val="24"/>
        </w:rPr>
      </w:pPr>
      <w:r w:rsidRPr="00523977">
        <w:rPr>
          <w:rFonts w:ascii="Times New Roman" w:hAnsi="Times New Roman" w:cs="Times New Roman"/>
          <w:sz w:val="24"/>
          <w:szCs w:val="24"/>
        </w:rPr>
        <w:t>Pokiaľ je predmetným stožiarom kombinovaný trakčný stožiar s liatinovým krytom, tak je predmetom náterov aj tento kryt a to z oboch strán a samozrejme aj výložník verejného osvetlenia (VO) a to podľa postupu popísaného vyššie.</w:t>
      </w:r>
    </w:p>
    <w:p w14:paraId="7CD82A1C" w14:textId="77777777" w:rsidR="00131CED"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131CED">
        <w:rPr>
          <w:rFonts w:ascii="Times New Roman" w:eastAsia="Times New Roman" w:hAnsi="Times New Roman" w:cs="Times New Roman"/>
          <w:sz w:val="24"/>
          <w:szCs w:val="24"/>
        </w:rPr>
        <w:t>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Bandimex, alebo ekvivalent.</w:t>
      </w:r>
    </w:p>
    <w:p w14:paraId="3BF2E0B3" w14:textId="1F327048" w:rsidR="00911A85" w:rsidRPr="00131CED" w:rsidRDefault="00911A85" w:rsidP="000E57B9">
      <w:pPr>
        <w:pStyle w:val="Odsekzoznamu"/>
        <w:numPr>
          <w:ilvl w:val="1"/>
          <w:numId w:val="5"/>
        </w:numPr>
        <w:spacing w:after="160"/>
        <w:ind w:left="851" w:hanging="284"/>
        <w:jc w:val="both"/>
        <w:rPr>
          <w:rFonts w:ascii="Times New Roman" w:eastAsia="Times New Roman" w:hAnsi="Times New Roman" w:cs="Times New Roman"/>
          <w:sz w:val="24"/>
          <w:szCs w:val="24"/>
        </w:rPr>
      </w:pPr>
      <w:r w:rsidRPr="00131CED">
        <w:rPr>
          <w:rFonts w:ascii="Times New Roman" w:eastAsia="Times New Roman" w:hAnsi="Times New Roman" w:cs="Times New Roman"/>
          <w:sz w:val="24"/>
          <w:szCs w:val="24"/>
        </w:rPr>
        <w:t>V prípade kombinovaných trakčných stožiarov s liatinovým krytom drieku požadujeme spätnú montáž vykonať s novými skrutkami a matkami s antikoróznou povrchovou úpravou (napr. pozinkovanie, poniklovanie a pod.)</w:t>
      </w:r>
      <w:r w:rsidR="00EB005B">
        <w:rPr>
          <w:rFonts w:ascii="Times New Roman" w:eastAsia="Times New Roman" w:hAnsi="Times New Roman" w:cs="Times New Roman"/>
          <w:sz w:val="24"/>
          <w:szCs w:val="24"/>
        </w:rPr>
        <w:t>.</w:t>
      </w:r>
    </w:p>
    <w:p w14:paraId="4FB9463D" w14:textId="77777777" w:rsidR="00FC5D04" w:rsidRPr="005038B7" w:rsidRDefault="00FC5D04" w:rsidP="00523977">
      <w:pPr>
        <w:pStyle w:val="Odsekzoznamu"/>
        <w:jc w:val="both"/>
        <w:rPr>
          <w:rFonts w:ascii="Times New Roman" w:eastAsia="Times New Roman" w:hAnsi="Times New Roman" w:cs="Times New Roman"/>
          <w:sz w:val="24"/>
          <w:szCs w:val="24"/>
        </w:rPr>
      </w:pPr>
    </w:p>
    <w:p w14:paraId="49CE1F29" w14:textId="77777777" w:rsidR="00CD1147" w:rsidRPr="005038B7" w:rsidRDefault="00CD1147" w:rsidP="005038B7">
      <w:pPr>
        <w:jc w:val="both"/>
        <w:rPr>
          <w:rFonts w:ascii="Times New Roman" w:hAnsi="Times New Roman" w:cs="Times New Roman"/>
          <w:sz w:val="24"/>
          <w:szCs w:val="24"/>
        </w:rPr>
      </w:pPr>
    </w:p>
    <w:sectPr w:rsidR="00CD1147" w:rsidRPr="00503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4F03"/>
    <w:multiLevelType w:val="hybridMultilevel"/>
    <w:tmpl w:val="C96E1EA0"/>
    <w:lvl w:ilvl="0" w:tplc="0B948B8E">
      <w:start w:val="1"/>
      <w:numFmt w:val="decimal"/>
      <w:lvlText w:val="%1."/>
      <w:lvlJc w:val="righ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B00F9D"/>
    <w:multiLevelType w:val="hybridMultilevel"/>
    <w:tmpl w:val="3EFA74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EA27AD"/>
    <w:multiLevelType w:val="hybridMultilevel"/>
    <w:tmpl w:val="C4A81038"/>
    <w:lvl w:ilvl="0" w:tplc="0B948B8E">
      <w:start w:val="1"/>
      <w:numFmt w:val="decimal"/>
      <w:lvlText w:val="%1."/>
      <w:lvlJc w:val="right"/>
      <w:pPr>
        <w:ind w:left="720" w:hanging="360"/>
      </w:pPr>
      <w:rPr>
        <w:rFonts w:cs="Times New Roman" w:hint="default"/>
      </w:rPr>
    </w:lvl>
    <w:lvl w:ilvl="1" w:tplc="041B0019">
      <w:start w:val="1"/>
      <w:numFmt w:val="lowerLetter"/>
      <w:lvlText w:val="%2."/>
      <w:lvlJc w:val="left"/>
      <w:pPr>
        <w:ind w:left="1440" w:hanging="360"/>
      </w:pPr>
    </w:lvl>
    <w:lvl w:ilvl="2" w:tplc="0B948B8E">
      <w:start w:val="1"/>
      <w:numFmt w:val="decimal"/>
      <w:lvlText w:val="%3."/>
      <w:lvlJc w:val="right"/>
      <w:pPr>
        <w:ind w:left="2160" w:hanging="180"/>
      </w:pPr>
      <w:rPr>
        <w:rFonts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661634B"/>
    <w:multiLevelType w:val="hybridMultilevel"/>
    <w:tmpl w:val="C67E7E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D4DCB9E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5E04FF"/>
    <w:multiLevelType w:val="hybridMultilevel"/>
    <w:tmpl w:val="BB9A8016"/>
    <w:lvl w:ilvl="0" w:tplc="0B948B8E">
      <w:start w:val="1"/>
      <w:numFmt w:val="decimal"/>
      <w:lvlText w:val="%1."/>
      <w:lvlJc w:val="right"/>
      <w:pPr>
        <w:ind w:left="720" w:hanging="360"/>
      </w:pPr>
      <w:rPr>
        <w:rFonts w:cs="Times New Roman" w:hint="default"/>
      </w:rPr>
    </w:lvl>
    <w:lvl w:ilvl="1" w:tplc="0B948B8E">
      <w:start w:val="1"/>
      <w:numFmt w:val="decimal"/>
      <w:lvlText w:val="%2."/>
      <w:lvlJc w:val="right"/>
      <w:pPr>
        <w:ind w:left="1440" w:hanging="360"/>
      </w:pPr>
      <w:rPr>
        <w:rFonts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C8573E"/>
    <w:multiLevelType w:val="hybridMultilevel"/>
    <w:tmpl w:val="74CA0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0257470">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093534">
    <w:abstractNumId w:val="3"/>
  </w:num>
  <w:num w:numId="3" w16cid:durableId="1509128142">
    <w:abstractNumId w:val="4"/>
  </w:num>
  <w:num w:numId="4" w16cid:durableId="1422680588">
    <w:abstractNumId w:val="0"/>
  </w:num>
  <w:num w:numId="5" w16cid:durableId="1197700791">
    <w:abstractNumId w:val="5"/>
  </w:num>
  <w:num w:numId="6" w16cid:durableId="1615743208">
    <w:abstractNumId w:val="2"/>
  </w:num>
  <w:num w:numId="7" w16cid:durableId="718214378">
    <w:abstractNumId w:val="1"/>
  </w:num>
  <w:num w:numId="8" w16cid:durableId="1162546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5"/>
    <w:rsid w:val="000E57B9"/>
    <w:rsid w:val="00131CED"/>
    <w:rsid w:val="002B05EE"/>
    <w:rsid w:val="0031207C"/>
    <w:rsid w:val="00366182"/>
    <w:rsid w:val="00462B63"/>
    <w:rsid w:val="005038B7"/>
    <w:rsid w:val="00523977"/>
    <w:rsid w:val="005D3AEC"/>
    <w:rsid w:val="006339D1"/>
    <w:rsid w:val="006769BB"/>
    <w:rsid w:val="00791607"/>
    <w:rsid w:val="007B52A1"/>
    <w:rsid w:val="00911A85"/>
    <w:rsid w:val="009A096F"/>
    <w:rsid w:val="00AD1C2B"/>
    <w:rsid w:val="00AD6786"/>
    <w:rsid w:val="00CD1147"/>
    <w:rsid w:val="00CF4DD9"/>
    <w:rsid w:val="00D20600"/>
    <w:rsid w:val="00D416AB"/>
    <w:rsid w:val="00D838FE"/>
    <w:rsid w:val="00E60D5E"/>
    <w:rsid w:val="00EB005B"/>
    <w:rsid w:val="00F468BC"/>
    <w:rsid w:val="00FC5D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6648"/>
  <w15:chartTrackingRefBased/>
  <w15:docId w15:val="{F7FEAB5A-5375-4E89-A997-C2DFD836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1A85"/>
    <w:pPr>
      <w:spacing w:after="0" w:line="240" w:lineRule="auto"/>
    </w:pPr>
    <w:rPr>
      <w:rFonts w:ascii="Calibri" w:hAnsi="Calibri" w:cs="Calibri"/>
    </w:rPr>
  </w:style>
  <w:style w:type="paragraph" w:styleId="Nadpis2">
    <w:name w:val="heading 2"/>
    <w:basedOn w:val="Normlny"/>
    <w:next w:val="Normlny"/>
    <w:link w:val="Nadpis2Char"/>
    <w:uiPriority w:val="9"/>
    <w:unhideWhenUsed/>
    <w:qFormat/>
    <w:rsid w:val="005038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11A85"/>
    <w:pPr>
      <w:ind w:left="720"/>
    </w:pPr>
  </w:style>
  <w:style w:type="character" w:customStyle="1" w:styleId="Nadpis2Char">
    <w:name w:val="Nadpis 2 Char"/>
    <w:basedOn w:val="Predvolenpsmoodseku"/>
    <w:link w:val="Nadpis2"/>
    <w:uiPriority w:val="9"/>
    <w:rsid w:val="005038B7"/>
    <w:rPr>
      <w:rFonts w:asciiTheme="majorHAnsi" w:eastAsiaTheme="majorEastAsia" w:hAnsiTheme="majorHAnsi" w:cstheme="majorBidi"/>
      <w:color w:val="2F5496" w:themeColor="accent1" w:themeShade="BF"/>
      <w:sz w:val="26"/>
      <w:szCs w:val="26"/>
    </w:rPr>
  </w:style>
  <w:style w:type="character" w:styleId="Odkaznakomentr">
    <w:name w:val="annotation reference"/>
    <w:basedOn w:val="Predvolenpsmoodseku"/>
    <w:uiPriority w:val="99"/>
    <w:semiHidden/>
    <w:unhideWhenUsed/>
    <w:rsid w:val="00366182"/>
    <w:rPr>
      <w:sz w:val="16"/>
      <w:szCs w:val="16"/>
    </w:rPr>
  </w:style>
  <w:style w:type="paragraph" w:styleId="Textkomentra">
    <w:name w:val="annotation text"/>
    <w:basedOn w:val="Normlny"/>
    <w:link w:val="TextkomentraChar"/>
    <w:uiPriority w:val="99"/>
    <w:semiHidden/>
    <w:unhideWhenUsed/>
    <w:rsid w:val="00366182"/>
    <w:rPr>
      <w:sz w:val="20"/>
      <w:szCs w:val="20"/>
    </w:rPr>
  </w:style>
  <w:style w:type="character" w:customStyle="1" w:styleId="TextkomentraChar">
    <w:name w:val="Text komentára Char"/>
    <w:basedOn w:val="Predvolenpsmoodseku"/>
    <w:link w:val="Textkomentra"/>
    <w:uiPriority w:val="99"/>
    <w:semiHidden/>
    <w:rsid w:val="00366182"/>
    <w:rPr>
      <w:rFonts w:ascii="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366182"/>
    <w:rPr>
      <w:b/>
      <w:bCs/>
    </w:rPr>
  </w:style>
  <w:style w:type="character" w:customStyle="1" w:styleId="PredmetkomentraChar">
    <w:name w:val="Predmet komentára Char"/>
    <w:basedOn w:val="TextkomentraChar"/>
    <w:link w:val="Predmetkomentra"/>
    <w:uiPriority w:val="99"/>
    <w:semiHidden/>
    <w:rsid w:val="0036618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FE71C84106014EAED87FA5E740ACF1" ma:contentTypeVersion="13" ma:contentTypeDescription="Umožňuje vytvoriť nový dokument." ma:contentTypeScope="" ma:versionID="abf9ca904bd01469b0b6ab64baa52ce1">
  <xsd:schema xmlns:xsd="http://www.w3.org/2001/XMLSchema" xmlns:xs="http://www.w3.org/2001/XMLSchema" xmlns:p="http://schemas.microsoft.com/office/2006/metadata/properties" xmlns:ns2="cc3bdf6b-c0d6-4a8a-9ed1-3e3d7293aa77" xmlns:ns3="3b1dff1f-ed9c-4009-857e-f304e3a9a450" targetNamespace="http://schemas.microsoft.com/office/2006/metadata/properties" ma:root="true" ma:fieldsID="6347241c534bb86470b5318b0bb3fba6" ns2:_="" ns3:_="">
    <xsd:import namespace="cc3bdf6b-c0d6-4a8a-9ed1-3e3d7293aa77"/>
    <xsd:import namespace="3b1dff1f-ed9c-4009-857e-f304e3a9a4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bdf6b-c0d6-4a8a-9ed1-3e3d7293a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dff1f-ed9c-4009-857e-f304e3a9a450"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69348063-7bc1-4eb3-9959-268fdf8bc690}" ma:internalName="TaxCatchAll" ma:showField="CatchAllData" ma:web="3b1dff1f-ed9c-4009-857e-f304e3a9a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dff1f-ed9c-4009-857e-f304e3a9a450" xsi:nil="true"/>
    <lcf76f155ced4ddcb4097134ff3c332f xmlns="cc3bdf6b-c0d6-4a8a-9ed1-3e3d7293a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36286-39AE-41D6-A417-117A010B186A}"/>
</file>

<file path=customXml/itemProps2.xml><?xml version="1.0" encoding="utf-8"?>
<ds:datastoreItem xmlns:ds="http://schemas.openxmlformats.org/officeDocument/2006/customXml" ds:itemID="{0AD3F689-906A-47B1-9E19-489375C6D79D}"/>
</file>

<file path=customXml/itemProps3.xml><?xml version="1.0" encoding="utf-8"?>
<ds:datastoreItem xmlns:ds="http://schemas.openxmlformats.org/officeDocument/2006/customXml" ds:itemID="{DEA8481D-475F-422C-95BA-D1D3EB168C49}"/>
</file>

<file path=docProps/app.xml><?xml version="1.0" encoding="utf-8"?>
<Properties xmlns="http://schemas.openxmlformats.org/officeDocument/2006/extended-properties" xmlns:vt="http://schemas.openxmlformats.org/officeDocument/2006/docPropsVTypes">
  <Template>Normal</Template>
  <TotalTime>40</TotalTime>
  <Pages>2</Pages>
  <Words>705</Words>
  <Characters>4022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Karol</dc:creator>
  <cp:keywords/>
  <dc:description/>
  <cp:lastModifiedBy>Kollár Karol</cp:lastModifiedBy>
  <cp:revision>3</cp:revision>
  <dcterms:created xsi:type="dcterms:W3CDTF">2024-08-10T08:58:00Z</dcterms:created>
  <dcterms:modified xsi:type="dcterms:W3CDTF">2024-08-10T09:16:00Z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0x010100C1FE71C84106014EAED87FA5E740ACF1</vt:lpwstr>
  </property>
</Properties>
</file>