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0E4D2C00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CD5090" w:rsidRPr="00CD5090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</w:t>
      </w:r>
      <w:proofErr w:type="spellStart"/>
      <w:r w:rsidR="00CD5090" w:rsidRPr="00CD5090">
        <w:rPr>
          <w:rFonts w:ascii="Cambria" w:hAnsi="Cambria"/>
          <w:b/>
          <w:bCs/>
          <w:sz w:val="20"/>
          <w:szCs w:val="20"/>
        </w:rPr>
        <w:t>NÚTPCHaHCH</w:t>
      </w:r>
      <w:proofErr w:type="spellEnd"/>
      <w:r w:rsidR="00CD5090" w:rsidRPr="00CD5090">
        <w:rPr>
          <w:rFonts w:ascii="Cambria" w:hAnsi="Cambria"/>
          <w:b/>
          <w:bCs/>
          <w:sz w:val="20"/>
          <w:szCs w:val="20"/>
        </w:rPr>
        <w:t>, Vyšné Hágy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ložená z dvoch </w:t>
            </w:r>
            <w:proofErr w:type="spellStart"/>
            <w:r w:rsidRPr="00255A22">
              <w:rPr>
                <w:rFonts w:ascii="Cambria" w:hAnsi="Cambria" w:cs="Arial"/>
                <w:sz w:val="20"/>
                <w:szCs w:val="20"/>
              </w:rPr>
              <w:t>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proofErr w:type="spellEnd"/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35D3E841" w:rsidR="001065A3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>Celkové úspory počas trvania zmluvy vrátane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60 b</w:t>
            </w:r>
          </w:p>
          <w:p w14:paraId="31766AF6" w14:textId="6638092D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>Celková cena za realizáciu predmetu zákazky vrátane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40b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3F6960" w:rsidRPr="00105C8E" w14:paraId="0EE713C2" w14:textId="77777777" w:rsidTr="00973A7B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F45D26D" w14:textId="77777777" w:rsidR="003F6960" w:rsidRPr="00105C8E" w:rsidRDefault="003F6960" w:rsidP="003F69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5742956A" w14:textId="77777777" w:rsidR="00AC52FD" w:rsidRPr="00B964F8" w:rsidRDefault="00AC52FD" w:rsidP="0040120D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A1 = úspora na zemnom plyne</w:t>
            </w:r>
          </w:p>
          <w:p w14:paraId="4502E787" w14:textId="306AE5F7" w:rsidR="003F6960" w:rsidRPr="00B964F8" w:rsidRDefault="00AC52FD" w:rsidP="0040120D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1B78FC23" w14:textId="77777777" w:rsidR="003F6960" w:rsidRPr="00B964F8" w:rsidRDefault="003F6960" w:rsidP="00B964F8">
            <w:pPr>
              <w:jc w:val="center"/>
              <w:rPr>
                <w:rFonts w:ascii="Cambria" w:hAnsi="Cambria" w:cs="Arial"/>
                <w:bCs/>
                <w:szCs w:val="16"/>
                <w:highlight w:val="yellow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B6D993E" w14:textId="21FA5475" w:rsidR="003F6960" w:rsidRPr="00B964F8" w:rsidRDefault="003F6960" w:rsidP="009A74A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69CA0CA" w14:textId="1F5125E3" w:rsidR="003F6960" w:rsidRPr="00B964F8" w:rsidRDefault="003F6960" w:rsidP="009A74A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1D120E0" w14:textId="333B104A" w:rsidR="003F6960" w:rsidRPr="00B964F8" w:rsidRDefault="003F6960" w:rsidP="009A74AB">
            <w:pPr>
              <w:rPr>
                <w:rFonts w:ascii="Cambria" w:hAnsi="Cambria" w:cs="Arial"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highlight w:val="lightGray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  <w:r w:rsidRPr="00B964F8">
              <w:rPr>
                <w:rStyle w:val="Odkaznapoznmkupodiarou"/>
                <w:rFonts w:ascii="Cambria" w:hAnsi="Cambria" w:cs="Arial"/>
                <w:bCs/>
                <w:szCs w:val="16"/>
              </w:rPr>
              <w:footnoteReference w:id="1"/>
            </w:r>
          </w:p>
        </w:tc>
      </w:tr>
      <w:tr w:rsidR="003F6960" w:rsidRPr="00105C8E" w14:paraId="0EAFE672" w14:textId="77777777" w:rsidTr="00973A7B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42B9D78" w14:textId="77777777" w:rsidR="003F6960" w:rsidRPr="00105C8E" w:rsidRDefault="003F6960" w:rsidP="003F69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4681DDCB" w14:textId="77777777" w:rsidR="00AC52FD" w:rsidRPr="00B964F8" w:rsidRDefault="00AC52FD" w:rsidP="0040120D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A2 = úspora na elektrine</w:t>
            </w:r>
          </w:p>
          <w:p w14:paraId="2844EC39" w14:textId="7F26915B" w:rsidR="003F6960" w:rsidRPr="00B964F8" w:rsidRDefault="00AC52FD" w:rsidP="0040120D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77270232" w14:textId="32667473" w:rsidR="003F6960" w:rsidRPr="00B964F8" w:rsidRDefault="00D531F3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E8C40E9" w14:textId="07273AC7" w:rsidR="003F6960" w:rsidRPr="00B964F8" w:rsidRDefault="003F6960" w:rsidP="009A74A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55A2F127" w14:textId="07069872" w:rsidR="003F6960" w:rsidRPr="00B964F8" w:rsidRDefault="003F6960" w:rsidP="009A74A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70A3C15" w14:textId="5F44CBF0" w:rsidR="003F6960" w:rsidRPr="00B964F8" w:rsidRDefault="003F6960" w:rsidP="009A74AB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highlight w:val="lightGray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  <w:r w:rsidRPr="00B964F8">
              <w:rPr>
                <w:rStyle w:val="Odkaznapoznmkupodiarou"/>
                <w:rFonts w:ascii="Cambria" w:hAnsi="Cambria" w:cs="Arial"/>
                <w:bCs/>
                <w:szCs w:val="16"/>
              </w:rPr>
              <w:footnoteReference w:id="2"/>
            </w:r>
          </w:p>
        </w:tc>
      </w:tr>
      <w:tr w:rsidR="00973A7B" w:rsidRPr="00105C8E" w14:paraId="61D185AE" w14:textId="77777777" w:rsidTr="00973A7B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3612BEA" w14:textId="77777777" w:rsidR="00973A7B" w:rsidRPr="00105C8E" w:rsidRDefault="00973A7B" w:rsidP="00973A7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740437A6" w14:textId="132A989E" w:rsidR="00973A7B" w:rsidRPr="00B964F8" w:rsidRDefault="00973A7B" w:rsidP="00973A7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 w:rsidR="007C287B">
              <w:rPr>
                <w:rFonts w:ascii="Cambria" w:hAnsi="Cambria" w:cs="Arial"/>
                <w:bCs/>
                <w:szCs w:val="16"/>
              </w:rPr>
              <w:t>3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úspora na opravách, údržbe a réžií</w:t>
            </w:r>
          </w:p>
          <w:p w14:paraId="01DE8176" w14:textId="3D7C5F17" w:rsidR="00973A7B" w:rsidRPr="00B964F8" w:rsidRDefault="00973A7B" w:rsidP="00973A7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na základe podkladov z Analýzy potenciálu úspor)</w:t>
            </w:r>
          </w:p>
        </w:tc>
        <w:tc>
          <w:tcPr>
            <w:tcW w:w="1140" w:type="dxa"/>
            <w:vAlign w:val="center"/>
          </w:tcPr>
          <w:p w14:paraId="501929FD" w14:textId="5AD503F0" w:rsidR="00973A7B" w:rsidRPr="00B964F8" w:rsidRDefault="00973A7B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06CA980" w14:textId="3904F272" w:rsidR="00973A7B" w:rsidRPr="00B964F8" w:rsidRDefault="00973A7B" w:rsidP="00973A7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13AF7522" w14:textId="0DD5CB3F" w:rsidR="00973A7B" w:rsidRPr="00B964F8" w:rsidRDefault="00973A7B" w:rsidP="00973A7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D2D66E7" w14:textId="5DE2DC78" w:rsidR="00973A7B" w:rsidRPr="00B964F8" w:rsidRDefault="00973A7B" w:rsidP="00973A7B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</w:p>
        </w:tc>
      </w:tr>
      <w:tr w:rsidR="00973A7B" w:rsidRPr="00105C8E" w14:paraId="33A3A79A" w14:textId="77777777" w:rsidTr="00973A7B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E025547" w14:textId="77777777" w:rsidR="00973A7B" w:rsidRPr="00105C8E" w:rsidRDefault="00973A7B" w:rsidP="00973A7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7924792C" w14:textId="45F807E8" w:rsidR="00973A7B" w:rsidRPr="00B964F8" w:rsidRDefault="00973A7B" w:rsidP="00973A7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 w:rsidR="007C287B">
              <w:rPr>
                <w:rFonts w:ascii="Cambria" w:hAnsi="Cambria" w:cs="Arial"/>
                <w:bCs/>
                <w:szCs w:val="16"/>
              </w:rPr>
              <w:t>4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úspora prevádzkových nákladov (mzdové náklady)</w:t>
            </w:r>
          </w:p>
          <w:p w14:paraId="7A8E624D" w14:textId="452895F9" w:rsidR="00973A7B" w:rsidRPr="00B964F8" w:rsidRDefault="00973A7B" w:rsidP="00973A7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na základe podkladov z Analýzy potenciálu úspor)</w:t>
            </w:r>
          </w:p>
        </w:tc>
        <w:tc>
          <w:tcPr>
            <w:tcW w:w="1140" w:type="dxa"/>
            <w:vAlign w:val="center"/>
          </w:tcPr>
          <w:p w14:paraId="435E1830" w14:textId="6330C45A" w:rsidR="00973A7B" w:rsidRPr="00B964F8" w:rsidRDefault="00973A7B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BD2B8CA" w14:textId="2729CE2B" w:rsidR="00973A7B" w:rsidRPr="00B964F8" w:rsidRDefault="00973A7B" w:rsidP="00973A7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</w:p>
        </w:tc>
        <w:tc>
          <w:tcPr>
            <w:tcW w:w="1465" w:type="dxa"/>
            <w:vAlign w:val="center"/>
          </w:tcPr>
          <w:p w14:paraId="2E07DE92" w14:textId="6E039F03" w:rsidR="00973A7B" w:rsidRPr="00B964F8" w:rsidRDefault="0091121F" w:rsidP="0091121F">
            <w:pPr>
              <w:spacing w:before="12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7EF261EC" w14:textId="1BF831B9" w:rsidR="00973A7B" w:rsidRPr="00B964F8" w:rsidRDefault="00973A7B" w:rsidP="00973A7B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</w:p>
        </w:tc>
      </w:tr>
      <w:tr w:rsidR="00973A7B" w:rsidRPr="00105C8E" w14:paraId="08851B1A" w14:textId="77777777" w:rsidTr="00973A7B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973A7B" w:rsidRPr="00105C8E" w:rsidRDefault="00973A7B" w:rsidP="00973A7B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657DA76" w14:textId="108E06C0" w:rsidR="00973A7B" w:rsidRPr="00B964F8" w:rsidRDefault="00973A7B" w:rsidP="00973A7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 xml:space="preserve">(A) = </w:t>
            </w:r>
            <w:r w:rsidR="00A85263">
              <w:rPr>
                <w:rFonts w:ascii="Cambria" w:hAnsi="Cambria" w:cs="Arial"/>
                <w:b/>
                <w:szCs w:val="16"/>
              </w:rPr>
              <w:t xml:space="preserve">Hodnotené </w:t>
            </w:r>
            <w:r w:rsidRPr="00B964F8">
              <w:rPr>
                <w:rFonts w:ascii="Cambria" w:hAnsi="Cambria" w:cs="Arial"/>
                <w:b/>
                <w:szCs w:val="16"/>
              </w:rPr>
              <w:t>Celkové ročné úspory</w:t>
            </w:r>
          </w:p>
          <w:p w14:paraId="40384AD5" w14:textId="4349C361" w:rsidR="00973A7B" w:rsidRPr="00B964F8" w:rsidRDefault="00973A7B" w:rsidP="00973A7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(vypočítaná ako súčet hodnôt A1 + A</w:t>
            </w:r>
            <w:r w:rsidR="007C287B">
              <w:rPr>
                <w:rFonts w:ascii="Cambria" w:hAnsi="Cambria" w:cs="Arial"/>
                <w:b/>
                <w:szCs w:val="16"/>
              </w:rPr>
              <w:t>2</w:t>
            </w:r>
            <w:r w:rsidRPr="00B964F8">
              <w:rPr>
                <w:rFonts w:ascii="Cambria" w:hAnsi="Cambria" w:cs="Arial"/>
                <w:b/>
                <w:szCs w:val="16"/>
              </w:rPr>
              <w:t xml:space="preserve"> + A3 + A4)</w:t>
            </w:r>
          </w:p>
        </w:tc>
        <w:tc>
          <w:tcPr>
            <w:tcW w:w="1140" w:type="dxa"/>
            <w:vAlign w:val="center"/>
          </w:tcPr>
          <w:p w14:paraId="4A9BB48E" w14:textId="08D6B2CA" w:rsidR="00973A7B" w:rsidRPr="00B964F8" w:rsidRDefault="00973A7B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2F959DFE" w:rsidR="00973A7B" w:rsidRPr="00B964F8" w:rsidRDefault="00973A7B" w:rsidP="00973A7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5C3CD061" w14:textId="19DADA61" w:rsidR="00973A7B" w:rsidRPr="00B964F8" w:rsidRDefault="00973A7B" w:rsidP="00973A7B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</w:t>
            </w:r>
            <w:bookmarkStart w:id="0" w:name="_GoBack"/>
            <w:bookmarkEnd w:id="0"/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241303CA" w14:textId="7BF87FE8" w:rsidR="00973A7B" w:rsidRPr="00B964F8" w:rsidRDefault="00973A7B" w:rsidP="00973A7B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</w:p>
        </w:tc>
      </w:tr>
      <w:tr w:rsidR="00BC4912" w:rsidRPr="00105C8E" w14:paraId="7C171337" w14:textId="77777777" w:rsidTr="00BC4912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BC4912" w:rsidRPr="00105C8E" w:rsidRDefault="00BC4912" w:rsidP="00BC491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BC4912" w:rsidRPr="00B964F8" w:rsidRDefault="00BC4912" w:rsidP="00BC491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BC4912" w:rsidRPr="00B964F8" w:rsidRDefault="00BC4912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BC4912" w:rsidRPr="00B964F8" w:rsidRDefault="00BC4912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BC4912" w:rsidRPr="00B964F8" w:rsidRDefault="00BC4912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0B655CD2" w:rsidR="00BC4912" w:rsidRPr="00B964F8" w:rsidRDefault="00BC4912" w:rsidP="00BC4912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</w:p>
        </w:tc>
      </w:tr>
      <w:tr w:rsidR="00BC4912" w:rsidRPr="00105C8E" w14:paraId="55F641DF" w14:textId="77777777" w:rsidTr="00BC4912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69BB7E15" w14:textId="77777777" w:rsidR="00BC4912" w:rsidRPr="00105C8E" w:rsidRDefault="00BC4912" w:rsidP="00BC491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lastRenderedPageBreak/>
              <w:t>10</w:t>
            </w:r>
          </w:p>
        </w:tc>
        <w:tc>
          <w:tcPr>
            <w:tcW w:w="2930" w:type="dxa"/>
            <w:vAlign w:val="center"/>
          </w:tcPr>
          <w:p w14:paraId="58E0CE75" w14:textId="35EA2845" w:rsidR="00BC4912" w:rsidRPr="00B964F8" w:rsidRDefault="00BC4912" w:rsidP="00BC491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 xml:space="preserve">B2 = náklady financovania Opatrení (náklady podľa bodu 13.3 návrhu zmluvy) </w:t>
            </w:r>
          </w:p>
        </w:tc>
        <w:tc>
          <w:tcPr>
            <w:tcW w:w="1140" w:type="dxa"/>
            <w:vAlign w:val="center"/>
          </w:tcPr>
          <w:p w14:paraId="435D4EBF" w14:textId="77777777" w:rsidR="00BC4912" w:rsidRPr="00B964F8" w:rsidRDefault="00BC4912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6DA2D2F8" w14:textId="1F4B8CCB" w:rsidR="00BC4912" w:rsidRPr="00B964F8" w:rsidRDefault="00624DB6" w:rsidP="00624DB6">
            <w:pPr>
              <w:rPr>
                <w:rFonts w:ascii="Cambria" w:hAnsi="Cambria" w:cs="Arial"/>
                <w:bCs/>
                <w:szCs w:val="16"/>
              </w:rPr>
            </w:pPr>
            <w:r w:rsidRPr="00624DB6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[doplniť 0 alebo kladné číslo zaokrúhlené na max. 2 desatinné miesta]</w:t>
            </w:r>
            <w:r>
              <w:rPr>
                <w:rFonts w:ascii="Arial" w:hAnsi="Arial" w:cs="Arial"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1465" w:type="dxa"/>
            <w:vAlign w:val="center"/>
          </w:tcPr>
          <w:p w14:paraId="1A846F47" w14:textId="5EFA4EF1" w:rsidR="00BC4912" w:rsidRPr="00B964F8" w:rsidRDefault="00624DB6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DF10A2">
              <w:rPr>
                <w:rFonts w:ascii="Cambria" w:hAnsi="Cambria" w:cs="Arial"/>
                <w:bCs/>
                <w:szCs w:val="16"/>
              </w:rPr>
              <w:t>DPH sa neuplatňuje</w:t>
            </w:r>
          </w:p>
        </w:tc>
        <w:tc>
          <w:tcPr>
            <w:tcW w:w="1544" w:type="dxa"/>
            <w:vAlign w:val="center"/>
          </w:tcPr>
          <w:p w14:paraId="65ADC1F2" w14:textId="0537C799" w:rsidR="00BC4912" w:rsidRPr="00B964F8" w:rsidRDefault="00624DB6" w:rsidP="00BC4912">
            <w:pPr>
              <w:rPr>
                <w:rFonts w:ascii="Cambria" w:hAnsi="Cambria" w:cs="Arial"/>
                <w:szCs w:val="16"/>
              </w:rPr>
            </w:pPr>
            <w:r w:rsidRPr="00624DB6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[doplniť 0 alebo kladné číslo zaokrúhlené na max. 2 desatinné miesta]</w:t>
            </w:r>
            <w:r>
              <w:rPr>
                <w:rFonts w:ascii="Arial" w:hAnsi="Arial" w:cs="Arial"/>
                <w:bCs/>
                <w:color w:val="auto"/>
                <w:szCs w:val="20"/>
              </w:rPr>
              <w:t xml:space="preserve">  </w:t>
            </w:r>
          </w:p>
        </w:tc>
      </w:tr>
      <w:tr w:rsidR="00BC4912" w:rsidRPr="00105C8E" w14:paraId="00BF4C63" w14:textId="77777777" w:rsidTr="00BC4912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BC4912" w:rsidRPr="00105C8E" w:rsidRDefault="00BC4912" w:rsidP="00BC491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7317AC51" w:rsidR="00BC4912" w:rsidRPr="00B964F8" w:rsidRDefault="00BC4912" w:rsidP="00BC491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B3 = Cena za súvisiace služby (cena za Súvisiace služby podľa bodu 13.4 návrhu zmluvy)</w:t>
            </w:r>
          </w:p>
        </w:tc>
        <w:tc>
          <w:tcPr>
            <w:tcW w:w="1140" w:type="dxa"/>
            <w:vAlign w:val="center"/>
          </w:tcPr>
          <w:p w14:paraId="60C5D997" w14:textId="4B38163A" w:rsidR="00BC4912" w:rsidRPr="00B964F8" w:rsidRDefault="00BC4912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BC4912" w:rsidRPr="00B964F8" w:rsidRDefault="00BC4912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BC4912" w:rsidRPr="00B964F8" w:rsidRDefault="00BC4912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52B7F040" w:rsidR="00BC4912" w:rsidRPr="00B964F8" w:rsidRDefault="00BC4912" w:rsidP="00BC4912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</w:p>
        </w:tc>
      </w:tr>
      <w:tr w:rsidR="00BC4912" w:rsidRPr="00105C8E" w14:paraId="7C3264D8" w14:textId="77777777" w:rsidTr="00BC4912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BC4912" w:rsidRPr="00105C8E" w:rsidRDefault="00BC4912" w:rsidP="00BC4912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0D8CEB34" w14:textId="2176A93D" w:rsidR="00BC4912" w:rsidRPr="00B964F8" w:rsidRDefault="00BC4912" w:rsidP="00BC4912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+ B3 vyššie)</w:t>
            </w:r>
          </w:p>
        </w:tc>
        <w:tc>
          <w:tcPr>
            <w:tcW w:w="1140" w:type="dxa"/>
            <w:vAlign w:val="center"/>
          </w:tcPr>
          <w:p w14:paraId="7227EE99" w14:textId="7588A25C" w:rsidR="00BC4912" w:rsidRPr="00B964F8" w:rsidRDefault="00BC4912" w:rsidP="00B964F8">
            <w:pPr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0F95314" w14:textId="15C99ED5" w:rsidR="00BC4912" w:rsidRPr="00B964F8" w:rsidRDefault="00BC4912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77F4E487" w14:textId="72DF0B25" w:rsidR="00BC4912" w:rsidRPr="00B964F8" w:rsidRDefault="00BC4912" w:rsidP="00BC4912">
            <w:pPr>
              <w:spacing w:before="12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8F00D14" w14:textId="71BB8C5D" w:rsidR="00BC4912" w:rsidRPr="00B964F8" w:rsidRDefault="00BC4912" w:rsidP="00BC4912">
            <w:pPr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s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DA182D" w14:textId="77777777" w:rsidR="00FD42BE" w:rsidRDefault="00FD42BE" w:rsidP="006F6013">
      <w:r>
        <w:separator/>
      </w:r>
    </w:p>
  </w:endnote>
  <w:endnote w:type="continuationSeparator" w:id="0">
    <w:p w14:paraId="30174AEC" w14:textId="77777777" w:rsidR="00FD42BE" w:rsidRDefault="00FD42BE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altName w:val="Arial"/>
    <w:charset w:val="00"/>
    <w:family w:val="roman"/>
    <w:pitch w:val="variable"/>
    <w:sig w:usb0="00000003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0D622" w14:textId="77777777" w:rsidR="00FD42BE" w:rsidRDefault="00FD42BE" w:rsidP="006F6013">
      <w:r>
        <w:separator/>
      </w:r>
    </w:p>
  </w:footnote>
  <w:footnote w:type="continuationSeparator" w:id="0">
    <w:p w14:paraId="7AEC5471" w14:textId="77777777" w:rsidR="00FD42BE" w:rsidRDefault="00FD42BE" w:rsidP="006F6013">
      <w:r>
        <w:continuationSeparator/>
      </w:r>
    </w:p>
  </w:footnote>
  <w:footnote w:id="1">
    <w:p w14:paraId="7BECC7C3" w14:textId="7825FBCB" w:rsidR="003F6960" w:rsidRPr="0016125D" w:rsidRDefault="003F6960">
      <w:pPr>
        <w:pStyle w:val="Textpoznmkypodiarou"/>
        <w:rPr>
          <w:rFonts w:ascii="Cambria" w:hAnsi="Cambria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6125D">
        <w:rPr>
          <w:rFonts w:ascii="Cambria" w:hAnsi="Cambria"/>
          <w:sz w:val="16"/>
          <w:szCs w:val="16"/>
        </w:rPr>
        <w:t xml:space="preserve">Celkové ročné úspory </w:t>
      </w:r>
      <w:r w:rsidR="00216C29" w:rsidRPr="0016125D">
        <w:rPr>
          <w:rFonts w:ascii="Cambria" w:hAnsi="Cambria"/>
          <w:sz w:val="16"/>
          <w:szCs w:val="16"/>
        </w:rPr>
        <w:t>nákladov</w:t>
      </w:r>
      <w:r w:rsidR="0016125D" w:rsidRPr="0016125D">
        <w:rPr>
          <w:rFonts w:ascii="Cambria" w:hAnsi="Cambria"/>
          <w:sz w:val="16"/>
          <w:szCs w:val="16"/>
        </w:rPr>
        <w:t xml:space="preserve"> (riadok</w:t>
      </w:r>
      <w:r w:rsidR="0080039F">
        <w:rPr>
          <w:rFonts w:ascii="Cambria" w:hAnsi="Cambria"/>
          <w:sz w:val="16"/>
          <w:szCs w:val="16"/>
        </w:rPr>
        <w:t xml:space="preserve"> </w:t>
      </w:r>
      <w:r w:rsidR="007C287B">
        <w:rPr>
          <w:rFonts w:ascii="Cambria" w:hAnsi="Cambria"/>
          <w:sz w:val="16"/>
          <w:szCs w:val="16"/>
        </w:rPr>
        <w:t>5</w:t>
      </w:r>
      <w:r w:rsidR="0016125D" w:rsidRPr="0016125D">
        <w:rPr>
          <w:rFonts w:ascii="Cambria" w:hAnsi="Cambria"/>
          <w:sz w:val="16"/>
          <w:szCs w:val="16"/>
        </w:rPr>
        <w:t xml:space="preserve"> návrhu na plnenie kritérií)</w:t>
      </w:r>
      <w:r w:rsidR="00216C29" w:rsidRPr="0016125D">
        <w:rPr>
          <w:rFonts w:ascii="Cambria" w:hAnsi="Cambria"/>
          <w:sz w:val="16"/>
          <w:szCs w:val="16"/>
        </w:rPr>
        <w:t xml:space="preserve"> </w:t>
      </w:r>
      <w:r w:rsidR="00FF15DF" w:rsidRPr="0016125D">
        <w:rPr>
          <w:rFonts w:ascii="Cambria" w:hAnsi="Cambria"/>
          <w:sz w:val="16"/>
          <w:szCs w:val="16"/>
        </w:rPr>
        <w:t xml:space="preserve">- </w:t>
      </w:r>
      <w:r w:rsidR="0080039F" w:rsidRPr="0080039F">
        <w:rPr>
          <w:rFonts w:ascii="Cambria" w:hAnsi="Cambria"/>
          <w:sz w:val="16"/>
          <w:szCs w:val="16"/>
        </w:rPr>
        <w:t xml:space="preserve">náklady na energie, osobné náklady, náklady na opravy a údržbu </w:t>
      </w:r>
      <w:r w:rsidR="00FF15DF" w:rsidRPr="0016125D">
        <w:rPr>
          <w:rFonts w:ascii="Cambria" w:hAnsi="Cambria"/>
          <w:sz w:val="16"/>
          <w:szCs w:val="16"/>
        </w:rPr>
        <w:t>-</w:t>
      </w:r>
      <w:r w:rsidR="00216C29" w:rsidRPr="0016125D">
        <w:rPr>
          <w:rFonts w:ascii="Cambria" w:hAnsi="Cambria"/>
          <w:sz w:val="16"/>
          <w:szCs w:val="16"/>
        </w:rPr>
        <w:t xml:space="preserve"> </w:t>
      </w:r>
      <w:r w:rsidRPr="0016125D">
        <w:rPr>
          <w:rFonts w:ascii="Cambria" w:hAnsi="Cambria"/>
          <w:sz w:val="16"/>
          <w:szCs w:val="16"/>
        </w:rPr>
        <w:t xml:space="preserve">musia dosiahnuť minimálne </w:t>
      </w:r>
      <w:r w:rsidRPr="007C287B">
        <w:rPr>
          <w:rFonts w:ascii="Cambria" w:hAnsi="Cambria"/>
          <w:sz w:val="16"/>
          <w:szCs w:val="16"/>
        </w:rPr>
        <w:t xml:space="preserve">hodnotu </w:t>
      </w:r>
      <w:r w:rsidR="0080039F" w:rsidRPr="007C287B">
        <w:rPr>
          <w:rFonts w:ascii="Cambria" w:hAnsi="Cambria"/>
          <w:b/>
          <w:bCs/>
          <w:sz w:val="16"/>
          <w:szCs w:val="16"/>
        </w:rPr>
        <w:t>[</w:t>
      </w:r>
      <w:r w:rsidR="007C287B" w:rsidRPr="007C287B">
        <w:rPr>
          <w:rFonts w:ascii="Arial" w:hAnsi="Arial" w:cs="Arial"/>
          <w:b/>
          <w:bCs/>
          <w:sz w:val="16"/>
          <w:szCs w:val="16"/>
        </w:rPr>
        <w:t>160 000</w:t>
      </w:r>
      <w:r w:rsidR="0080039F" w:rsidRPr="007C287B">
        <w:rPr>
          <w:rFonts w:ascii="Cambria" w:hAnsi="Cambria"/>
          <w:b/>
          <w:bCs/>
          <w:sz w:val="16"/>
          <w:szCs w:val="16"/>
        </w:rPr>
        <w:t>]</w:t>
      </w:r>
      <w:r w:rsidR="00BF3CF5" w:rsidRPr="007C287B">
        <w:rPr>
          <w:rFonts w:ascii="Cambria" w:hAnsi="Cambria"/>
          <w:b/>
          <w:bCs/>
          <w:sz w:val="16"/>
          <w:szCs w:val="16"/>
        </w:rPr>
        <w:t>,-</w:t>
      </w:r>
      <w:r w:rsidR="0016125D" w:rsidRPr="00BF3CF5">
        <w:rPr>
          <w:rFonts w:ascii="Cambria" w:hAnsi="Cambria"/>
          <w:b/>
          <w:bCs/>
          <w:sz w:val="16"/>
          <w:szCs w:val="16"/>
        </w:rPr>
        <w:t xml:space="preserve"> </w:t>
      </w:r>
      <w:r w:rsidRPr="00BF3CF5">
        <w:rPr>
          <w:rFonts w:ascii="Cambria" w:hAnsi="Cambria"/>
          <w:b/>
          <w:bCs/>
          <w:sz w:val="16"/>
          <w:szCs w:val="16"/>
        </w:rPr>
        <w:t>EUR vrátane DPH</w:t>
      </w:r>
      <w:r w:rsidRPr="0016125D">
        <w:rPr>
          <w:rFonts w:ascii="Cambria" w:hAnsi="Cambria"/>
          <w:sz w:val="16"/>
          <w:szCs w:val="16"/>
        </w:rPr>
        <w:t>.</w:t>
      </w:r>
    </w:p>
  </w:footnote>
  <w:footnote w:id="2">
    <w:p w14:paraId="3056A5F3" w14:textId="7FF2A3AF" w:rsidR="003F6960" w:rsidRDefault="003F6960" w:rsidP="00FB05C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16125D">
        <w:rPr>
          <w:rFonts w:ascii="Cambria" w:hAnsi="Cambria"/>
          <w:sz w:val="16"/>
          <w:szCs w:val="16"/>
        </w:rPr>
        <w:t xml:space="preserve">Celkové garantované úspory </w:t>
      </w:r>
      <w:r w:rsidR="00A85263">
        <w:rPr>
          <w:rFonts w:ascii="Cambria" w:hAnsi="Cambria"/>
          <w:sz w:val="16"/>
          <w:szCs w:val="16"/>
        </w:rPr>
        <w:t xml:space="preserve">prepočítané na </w:t>
      </w:r>
      <w:r w:rsidR="007C287B">
        <w:rPr>
          <w:rFonts w:ascii="Cambria" w:hAnsi="Cambria"/>
          <w:sz w:val="16"/>
          <w:szCs w:val="16"/>
        </w:rPr>
        <w:t>desať</w:t>
      </w:r>
      <w:r w:rsidR="00A85263">
        <w:rPr>
          <w:rFonts w:ascii="Cambria" w:hAnsi="Cambria"/>
          <w:sz w:val="16"/>
          <w:szCs w:val="16"/>
        </w:rPr>
        <w:t xml:space="preserve"> (</w:t>
      </w:r>
      <w:r w:rsidR="007C287B">
        <w:rPr>
          <w:rFonts w:ascii="Cambria" w:hAnsi="Cambria"/>
          <w:sz w:val="16"/>
          <w:szCs w:val="16"/>
        </w:rPr>
        <w:t>10</w:t>
      </w:r>
      <w:r w:rsidR="00A85263">
        <w:rPr>
          <w:rFonts w:ascii="Cambria" w:hAnsi="Cambria"/>
          <w:sz w:val="16"/>
          <w:szCs w:val="16"/>
        </w:rPr>
        <w:t>) rokov garancie</w:t>
      </w:r>
      <w:r w:rsidR="00216C29" w:rsidRPr="0016125D">
        <w:rPr>
          <w:rFonts w:ascii="Cambria" w:hAnsi="Cambria"/>
          <w:sz w:val="16"/>
          <w:szCs w:val="16"/>
        </w:rPr>
        <w:t xml:space="preserve"> </w:t>
      </w:r>
      <w:r w:rsidRPr="0016125D">
        <w:rPr>
          <w:rFonts w:ascii="Cambria" w:hAnsi="Cambria"/>
          <w:sz w:val="16"/>
          <w:szCs w:val="16"/>
        </w:rPr>
        <w:t xml:space="preserve">počas celej doby trvania zmluvy vrátane DPH musia byť rovné alebo vyššie ako </w:t>
      </w:r>
      <w:r w:rsidR="00A85263">
        <w:rPr>
          <w:rFonts w:ascii="Cambria" w:hAnsi="Cambria"/>
          <w:sz w:val="16"/>
          <w:szCs w:val="16"/>
        </w:rPr>
        <w:t>(B) Celková cena za realizáciu predmetu zákazky</w:t>
      </w:r>
      <w:r w:rsidRPr="0016125D">
        <w:rPr>
          <w:rFonts w:ascii="Cambria" w:hAnsi="Cambria"/>
          <w:sz w:val="16"/>
          <w:szCs w:val="16"/>
        </w:rPr>
        <w:t xml:space="preserve"> vrátane DPH.</w:t>
      </w:r>
    </w:p>
    <w:p w14:paraId="6D509F29" w14:textId="40335B49" w:rsidR="003F6960" w:rsidRDefault="003F6960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D4E78"/>
    <w:rsid w:val="000F2663"/>
    <w:rsid w:val="00101CA3"/>
    <w:rsid w:val="00105C8E"/>
    <w:rsid w:val="001065A3"/>
    <w:rsid w:val="001258E1"/>
    <w:rsid w:val="00127830"/>
    <w:rsid w:val="00140FA5"/>
    <w:rsid w:val="0016125D"/>
    <w:rsid w:val="001816EB"/>
    <w:rsid w:val="00186F71"/>
    <w:rsid w:val="001C1581"/>
    <w:rsid w:val="00216C29"/>
    <w:rsid w:val="00242177"/>
    <w:rsid w:val="0024471D"/>
    <w:rsid w:val="00255A22"/>
    <w:rsid w:val="00281CDE"/>
    <w:rsid w:val="002D406C"/>
    <w:rsid w:val="002F0A45"/>
    <w:rsid w:val="00343EB9"/>
    <w:rsid w:val="0036449F"/>
    <w:rsid w:val="00386488"/>
    <w:rsid w:val="003C48F0"/>
    <w:rsid w:val="003D1023"/>
    <w:rsid w:val="003D643B"/>
    <w:rsid w:val="003E5AA6"/>
    <w:rsid w:val="003F6960"/>
    <w:rsid w:val="0040120D"/>
    <w:rsid w:val="00411C3F"/>
    <w:rsid w:val="004C3D40"/>
    <w:rsid w:val="004F18DD"/>
    <w:rsid w:val="0050287D"/>
    <w:rsid w:val="00544DBF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80039F"/>
    <w:rsid w:val="00801CED"/>
    <w:rsid w:val="00803512"/>
    <w:rsid w:val="00805177"/>
    <w:rsid w:val="00843110"/>
    <w:rsid w:val="0084567E"/>
    <w:rsid w:val="008609CC"/>
    <w:rsid w:val="008B0FAA"/>
    <w:rsid w:val="008B2B0E"/>
    <w:rsid w:val="008B6769"/>
    <w:rsid w:val="008E58DD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C4912"/>
    <w:rsid w:val="00BF3CF5"/>
    <w:rsid w:val="00BF623F"/>
    <w:rsid w:val="00BF75FF"/>
    <w:rsid w:val="00C27F16"/>
    <w:rsid w:val="00C53CFB"/>
    <w:rsid w:val="00C55001"/>
    <w:rsid w:val="00C622B4"/>
    <w:rsid w:val="00C626B3"/>
    <w:rsid w:val="00CC2234"/>
    <w:rsid w:val="00CD0876"/>
    <w:rsid w:val="00CD5090"/>
    <w:rsid w:val="00CE1442"/>
    <w:rsid w:val="00CE1D4C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7361"/>
    <w:rsid w:val="00E62CEA"/>
    <w:rsid w:val="00E667DD"/>
    <w:rsid w:val="00E7031D"/>
    <w:rsid w:val="00F0113D"/>
    <w:rsid w:val="00F13427"/>
    <w:rsid w:val="00F61398"/>
    <w:rsid w:val="00F630D7"/>
    <w:rsid w:val="00F72FAF"/>
    <w:rsid w:val="00F77980"/>
    <w:rsid w:val="00F85391"/>
    <w:rsid w:val="00FB05CE"/>
    <w:rsid w:val="00FB4205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07EE5-08E0-4C76-AD42-1D49E58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2772</Characters>
  <Application>Microsoft Office Word</Application>
  <DocSecurity>0</DocSecurity>
  <Lines>23</Lines>
  <Paragraphs>6</Paragraphs>
  <ScaleCrop>false</ScaleCrop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2019-10-15T07:31:00Z</dcterms:modified>
</cp:coreProperties>
</file>