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3F72D75C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MECOM GROUP, s.r.o.</w:t>
      </w:r>
    </w:p>
    <w:p w14:paraId="716CF0F8" w14:textId="231A605D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7B653EDE" w14:textId="55F94A5B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7629D6B0" w14:textId="0DA7C1BC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2417F">
        <w:rPr>
          <w:rFonts w:asciiTheme="majorHAnsi" w:eastAsia="Times New Roman" w:hAnsiTheme="majorHAnsi" w:cstheme="majorHAnsi"/>
          <w:iCs/>
          <w:lang w:eastAsia="sk-SK"/>
        </w:rPr>
        <w:t>31735151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5A4233DD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4667D3">
        <w:rPr>
          <w:rFonts w:asciiTheme="majorHAnsi" w:hAnsiTheme="majorHAnsi" w:cstheme="majorHAnsi"/>
          <w:b/>
          <w:bCs/>
        </w:rPr>
        <w:t xml:space="preserve">Technológia na výrobu </w:t>
      </w:r>
      <w:r w:rsidR="00CB09CB">
        <w:rPr>
          <w:rFonts w:asciiTheme="majorHAnsi" w:hAnsiTheme="majorHAnsi" w:cstheme="majorHAnsi"/>
          <w:b/>
          <w:bCs/>
        </w:rPr>
        <w:t>PATÉ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4667D3"/>
    <w:rsid w:val="00507008"/>
    <w:rsid w:val="007A6307"/>
    <w:rsid w:val="0082417F"/>
    <w:rsid w:val="008C353A"/>
    <w:rsid w:val="008C44A4"/>
    <w:rsid w:val="009B262F"/>
    <w:rsid w:val="00A93240"/>
    <w:rsid w:val="00B852A1"/>
    <w:rsid w:val="00C31598"/>
    <w:rsid w:val="00C36DAC"/>
    <w:rsid w:val="00C52B40"/>
    <w:rsid w:val="00C548E3"/>
    <w:rsid w:val="00CB09CB"/>
    <w:rsid w:val="00E924C6"/>
    <w:rsid w:val="00E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2024-07-16T11:44:00Z</dcterms:modified>
</cp:coreProperties>
</file>