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48E98EF4" w:rsidR="00065F6B" w:rsidRPr="00D83531" w:rsidRDefault="008426FA"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Pyrotechnické vozidlá</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13F87843"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7A2021">
        <w:rPr>
          <w:rFonts w:ascii="Arial Narrow" w:hAnsi="Arial Narrow" w:cs="Arial Narrow"/>
          <w:sz w:val="22"/>
          <w:szCs w:val="22"/>
        </w:rPr>
        <w:t>Ing. Tomáš Kundrát</w:t>
      </w:r>
    </w:p>
    <w:p w14:paraId="22531F04" w14:textId="575BAAEA"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 xml:space="preserve">odbor </w:t>
      </w:r>
      <w:r w:rsidR="00277487">
        <w:rPr>
          <w:rFonts w:ascii="Arial Narrow" w:hAnsi="Arial Narrow" w:cs="Arial"/>
          <w:sz w:val="22"/>
          <w:szCs w:val="22"/>
        </w:rPr>
        <w:t xml:space="preserve">realizácie </w:t>
      </w:r>
      <w:r w:rsidR="00E13779" w:rsidRPr="00D83531">
        <w:rPr>
          <w:rFonts w:ascii="Arial Narrow" w:hAnsi="Arial Narrow" w:cs="Arial"/>
          <w:sz w:val="22"/>
          <w:szCs w:val="22"/>
        </w:rPr>
        <w:t>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Pr="00051F7C">
        <w:rPr>
          <w:rFonts w:ascii="Arial Narrow" w:hAnsi="Arial Narrow" w:cs="Arial"/>
          <w:sz w:val="22"/>
          <w:szCs w:val="22"/>
        </w:rPr>
        <w:t>...................................................................................</w:t>
      </w:r>
    </w:p>
    <w:p w14:paraId="73E0E0AC" w14:textId="2416CF82" w:rsidR="00E13779" w:rsidRPr="00ED4AAE" w:rsidRDefault="00877A4D" w:rsidP="00B622DA">
      <w:pPr>
        <w:pStyle w:val="Zkladntext3"/>
        <w:tabs>
          <w:tab w:val="center" w:pos="6804"/>
        </w:tabs>
        <w:spacing w:after="0" w:line="240" w:lineRule="auto"/>
        <w:ind w:right="-45"/>
        <w:rPr>
          <w:rFonts w:ascii="Arial Narrow" w:hAnsi="Arial Narrow" w:cs="Arial"/>
          <w:sz w:val="22"/>
          <w:szCs w:val="22"/>
          <w:lang w:eastAsia="x-none"/>
        </w:rPr>
      </w:pPr>
      <w:r w:rsidRPr="00D83531">
        <w:rPr>
          <w:rFonts w:ascii="Arial Narrow" w:hAnsi="Arial Narrow" w:cs="Arial"/>
          <w:sz w:val="22"/>
          <w:szCs w:val="22"/>
        </w:rPr>
        <w:tab/>
      </w:r>
      <w:r w:rsidR="00051F7C" w:rsidRPr="00ED4AAE">
        <w:rPr>
          <w:rFonts w:ascii="Arial Narrow" w:hAnsi="Arial Narrow" w:cs="Arial"/>
          <w:sz w:val="22"/>
          <w:szCs w:val="22"/>
          <w:lang w:eastAsia="x-none"/>
        </w:rPr>
        <w:t>plk. Ing. Zuzana Némethová, PhD.</w:t>
      </w:r>
    </w:p>
    <w:p w14:paraId="1DF80820" w14:textId="7661B661" w:rsidR="00051F7C" w:rsidRPr="00D83531" w:rsidRDefault="00051F7C" w:rsidP="00B622DA">
      <w:pPr>
        <w:pStyle w:val="Zkladntext3"/>
        <w:tabs>
          <w:tab w:val="center" w:pos="6804"/>
        </w:tabs>
        <w:spacing w:after="0" w:line="240" w:lineRule="auto"/>
        <w:ind w:right="-45"/>
        <w:rPr>
          <w:rFonts w:ascii="Arial Narrow" w:hAnsi="Arial Narrow" w:cs="Arial"/>
          <w:sz w:val="22"/>
          <w:szCs w:val="22"/>
        </w:rPr>
      </w:pPr>
      <w:r w:rsidRPr="00ED4AAE">
        <w:rPr>
          <w:rFonts w:ascii="Arial Narrow" w:hAnsi="Arial Narrow" w:cs="Arial"/>
          <w:sz w:val="22"/>
          <w:szCs w:val="22"/>
        </w:rPr>
        <w:tab/>
        <w:t>riaditeľka KEU PZ</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497B4FD4"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FF66BB">
        <w:rPr>
          <w:rFonts w:ascii="Arial Narrow" w:hAnsi="Arial Narrow" w:cs="Arial"/>
          <w:sz w:val="22"/>
          <w:szCs w:val="22"/>
        </w:rPr>
        <w:t>Ing. Branislav Chlebana</w:t>
      </w:r>
    </w:p>
    <w:p w14:paraId="686035B4" w14:textId="74E75E22"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277487">
        <w:rPr>
          <w:rFonts w:ascii="Arial Narrow" w:hAnsi="Arial Narrow" w:cs="Arial"/>
          <w:sz w:val="22"/>
          <w:szCs w:val="22"/>
        </w:rPr>
        <w:t xml:space="preserve">generálny </w:t>
      </w:r>
      <w:r w:rsidR="00E13779" w:rsidRPr="00D83531">
        <w:rPr>
          <w:rFonts w:ascii="Arial Narrow" w:hAnsi="Arial Narrow" w:cs="Arial"/>
          <w:sz w:val="22"/>
          <w:szCs w:val="22"/>
        </w:rPr>
        <w:t xml:space="preserve">riaditeľ </w:t>
      </w:r>
      <w:r w:rsidR="00277487">
        <w:rPr>
          <w:rFonts w:ascii="Arial Narrow" w:hAnsi="Arial Narrow" w:cs="Arial"/>
          <w:sz w:val="22"/>
          <w:szCs w:val="22"/>
        </w:rPr>
        <w:t>sekcie</w:t>
      </w:r>
      <w:r w:rsidR="00E13779" w:rsidRPr="00D83531">
        <w:rPr>
          <w:rFonts w:ascii="Arial Narrow" w:hAnsi="Arial Narrow" w:cs="Arial"/>
          <w:sz w:val="22"/>
          <w:szCs w:val="22"/>
        </w:rPr>
        <w:t xml:space="preserve"> verejného obstarávania </w:t>
      </w:r>
      <w:r w:rsidR="00FF66BB">
        <w:rPr>
          <w:rFonts w:ascii="Arial Narrow" w:hAnsi="Arial Narrow" w:cs="Arial"/>
          <w:sz w:val="22"/>
          <w:szCs w:val="22"/>
        </w:rPr>
        <w:t>MV SR</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3A881B9C"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6141FE" w:rsidRPr="00BB31CC">
        <w:rPr>
          <w:rFonts w:ascii="Arial Narrow" w:hAnsi="Arial Narrow" w:cs="Arial"/>
          <w:sz w:val="22"/>
          <w:szCs w:val="22"/>
        </w:rPr>
        <w:t>Júl</w:t>
      </w:r>
      <w:r w:rsidR="00FF66BB" w:rsidRPr="00BB31CC">
        <w:rPr>
          <w:rFonts w:ascii="Arial Narrow" w:hAnsi="Arial Narrow" w:cs="Arial"/>
          <w:sz w:val="22"/>
          <w:szCs w:val="22"/>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62B8505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F66BB" w:rsidRPr="006740A2">
        <w:rPr>
          <w:rFonts w:ascii="Arial Narrow" w:hAnsi="Arial Narrow"/>
          <w:szCs w:val="20"/>
        </w:rPr>
        <w:t>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83404E3" w14:textId="14C6645F" w:rsidR="00FF66BB" w:rsidRDefault="000766EB" w:rsidP="009B3C19">
      <w:pPr>
        <w:spacing w:after="0" w:line="240" w:lineRule="auto"/>
        <w:rPr>
          <w:rFonts w:ascii="Arial Narrow" w:hAnsi="Arial Narrow"/>
          <w:szCs w:val="20"/>
        </w:rPr>
      </w:pPr>
      <w:r w:rsidRPr="006740A2">
        <w:rPr>
          <w:rFonts w:ascii="Arial Narrow" w:hAnsi="Arial Narrow"/>
          <w:szCs w:val="20"/>
        </w:rPr>
        <w:t xml:space="preserve">Príloha č. </w:t>
      </w:r>
      <w:r w:rsidR="00FF66BB" w:rsidRPr="006740A2">
        <w:rPr>
          <w:rFonts w:ascii="Arial Narrow" w:hAnsi="Arial Narrow"/>
          <w:szCs w:val="20"/>
        </w:rPr>
        <w:t>7</w:t>
      </w:r>
      <w:r w:rsidRPr="006740A2">
        <w:rPr>
          <w:rFonts w:ascii="Arial Narrow" w:hAnsi="Arial Narrow"/>
          <w:szCs w:val="20"/>
        </w:rPr>
        <w:t>:</w:t>
      </w:r>
      <w:r w:rsidRPr="006740A2">
        <w:rPr>
          <w:rFonts w:ascii="Arial Narrow" w:hAnsi="Arial Narrow"/>
          <w:szCs w:val="20"/>
        </w:rPr>
        <w:tab/>
      </w:r>
      <w:r w:rsidR="00FF66BB" w:rsidRPr="006740A2">
        <w:rPr>
          <w:rFonts w:ascii="Arial Narrow" w:hAnsi="Arial Narrow"/>
          <w:szCs w:val="20"/>
        </w:rPr>
        <w:t>Formulár Jednotného európskeho dokumentu</w:t>
      </w:r>
      <w:r w:rsidR="00FF66BB">
        <w:rPr>
          <w:rFonts w:ascii="Arial Narrow" w:hAnsi="Arial Narrow"/>
          <w:szCs w:val="20"/>
        </w:rPr>
        <w:t xml:space="preserve"> </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0505874B" w14:textId="77777777" w:rsidR="008426FA" w:rsidRPr="008426FA" w:rsidRDefault="00A0357F" w:rsidP="006141FE">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8426FA">
        <w:rPr>
          <w:rFonts w:ascii="Arial Narrow" w:hAnsi="Arial Narrow" w:cs="Arial"/>
          <w:b/>
          <w:bCs/>
          <w:szCs w:val="16"/>
          <w:lang w:val="sk-SK"/>
        </w:rPr>
        <w:t>Pyrotechnické vozidlá</w:t>
      </w:r>
      <w:r w:rsidR="006141FE" w:rsidRPr="006141FE">
        <w:rPr>
          <w:rFonts w:ascii="Arial Narrow" w:hAnsi="Arial Narrow" w:cs="Arial"/>
          <w:bCs/>
          <w:szCs w:val="16"/>
          <w:lang w:val="sk-SK"/>
        </w:rPr>
        <w:t>.</w:t>
      </w:r>
      <w:r w:rsidRPr="000A35D5">
        <w:rPr>
          <w:rFonts w:ascii="Arial Narrow" w:hAnsi="Arial Narrow" w:cs="Arial"/>
          <w:szCs w:val="16"/>
          <w:lang w:val="sk-SK"/>
        </w:rPr>
        <w:t>“</w:t>
      </w:r>
      <w:bookmarkStart w:id="6" w:name="SS"/>
      <w:bookmarkEnd w:id="6"/>
    </w:p>
    <w:p w14:paraId="652C0436" w14:textId="77777777" w:rsidR="008426FA" w:rsidRDefault="008426FA" w:rsidP="008426FA">
      <w:pPr>
        <w:pStyle w:val="Zarkazkladnhotextu2"/>
        <w:spacing w:after="0" w:line="240" w:lineRule="auto"/>
        <w:ind w:left="567"/>
        <w:jc w:val="both"/>
        <w:rPr>
          <w:rFonts w:ascii="Arial Narrow" w:hAnsi="Arial Narrow" w:cs="Arial"/>
          <w:szCs w:val="16"/>
          <w:lang w:val="sk-SK"/>
        </w:rPr>
      </w:pPr>
      <w:r>
        <w:rPr>
          <w:rFonts w:ascii="Arial Narrow" w:hAnsi="Arial Narrow" w:cs="Arial"/>
          <w:szCs w:val="16"/>
          <w:lang w:val="sk-SK"/>
        </w:rPr>
        <w:t xml:space="preserve">Časť č.1.: </w:t>
      </w:r>
      <w:r w:rsidRPr="008426FA">
        <w:rPr>
          <w:rFonts w:ascii="Arial Narrow" w:hAnsi="Arial Narrow" w:cs="Arial"/>
          <w:szCs w:val="16"/>
          <w:lang w:val="sk-SK"/>
        </w:rPr>
        <w:t>Výjazdové pyrotechnické vozidlá na prepravu pyrotechnického zásahového vybavenia – 3 ks</w:t>
      </w:r>
    </w:p>
    <w:p w14:paraId="4AD5C739" w14:textId="08F95875" w:rsidR="008426FA" w:rsidRDefault="008426FA" w:rsidP="008426FA">
      <w:pPr>
        <w:pStyle w:val="Zarkazkladnhotextu2"/>
        <w:spacing w:after="0" w:line="240" w:lineRule="auto"/>
        <w:ind w:left="567"/>
        <w:jc w:val="both"/>
        <w:rPr>
          <w:rFonts w:ascii="Arial Narrow" w:hAnsi="Arial Narrow" w:cs="Arial"/>
          <w:szCs w:val="16"/>
          <w:lang w:val="sk-SK"/>
        </w:rPr>
      </w:pPr>
      <w:r>
        <w:rPr>
          <w:rFonts w:ascii="Arial Narrow" w:hAnsi="Arial Narrow" w:cs="Arial"/>
          <w:szCs w:val="16"/>
          <w:lang w:val="sk-SK"/>
        </w:rPr>
        <w:t xml:space="preserve">Časť č.2.: </w:t>
      </w:r>
      <w:r w:rsidRPr="008426FA">
        <w:rPr>
          <w:rFonts w:ascii="Arial Narrow" w:hAnsi="Arial Narrow" w:cs="Arial"/>
          <w:szCs w:val="16"/>
          <w:lang w:val="sk-SK"/>
        </w:rPr>
        <w:t>Nákladné vozidlo v prevedení ADR – EX/III určeného na prepravu výbušnín – 1ks.</w:t>
      </w:r>
    </w:p>
    <w:p w14:paraId="67EAED5B" w14:textId="5F974F9B" w:rsidR="00812C26" w:rsidRPr="000A35D5" w:rsidRDefault="008426FA" w:rsidP="008426FA">
      <w:pPr>
        <w:pStyle w:val="Zarkazkladnhotextu2"/>
        <w:spacing w:after="0" w:line="240" w:lineRule="auto"/>
        <w:ind w:left="567"/>
        <w:jc w:val="both"/>
        <w:rPr>
          <w:rFonts w:ascii="Arial Narrow" w:hAnsi="Arial Narrow" w:cs="Arial"/>
          <w:lang w:val="sk-SK"/>
        </w:rPr>
      </w:pPr>
      <w:r>
        <w:rPr>
          <w:rFonts w:ascii="Arial Narrow" w:hAnsi="Arial Narrow" w:cs="Arial"/>
          <w:szCs w:val="16"/>
          <w:lang w:val="sk-SK"/>
        </w:rPr>
        <w:t xml:space="preserve"> </w:t>
      </w:r>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1F5A1B0B" w:rsidR="00130CF0" w:rsidRPr="00BD2194" w:rsidRDefault="008426FA" w:rsidP="007B12A5">
      <w:pPr>
        <w:pStyle w:val="Zkladntext3"/>
        <w:numPr>
          <w:ilvl w:val="1"/>
          <w:numId w:val="23"/>
        </w:numPr>
        <w:spacing w:after="0" w:line="240" w:lineRule="auto"/>
        <w:ind w:left="567" w:hanging="567"/>
        <w:jc w:val="both"/>
        <w:rPr>
          <w:rFonts w:ascii="Arial Narrow" w:hAnsi="Arial Narrow" w:cs="Arial"/>
        </w:rPr>
      </w:pPr>
      <w:bookmarkStart w:id="8" w:name="urcite_vsetko"/>
      <w:bookmarkEnd w:id="8"/>
      <w:r>
        <w:rPr>
          <w:rFonts w:ascii="Arial Narrow" w:hAnsi="Arial Narrow" w:cs="Arial"/>
          <w:sz w:val="22"/>
          <w:szCs w:val="22"/>
        </w:rPr>
        <w:t xml:space="preserve">Predmet zákazky </w:t>
      </w:r>
      <w:r w:rsidR="00130CF0" w:rsidRPr="00BD2194">
        <w:rPr>
          <w:rFonts w:ascii="Arial Narrow" w:hAnsi="Arial Narrow" w:cs="Arial"/>
          <w:sz w:val="22"/>
          <w:szCs w:val="22"/>
        </w:rPr>
        <w:t xml:space="preserve"> je rozdelený na časti. Záujemca </w:t>
      </w:r>
      <w:r>
        <w:rPr>
          <w:rFonts w:ascii="Arial Narrow" w:hAnsi="Arial Narrow" w:cs="Arial"/>
          <w:sz w:val="22"/>
          <w:szCs w:val="22"/>
        </w:rPr>
        <w:t>môže predložiť ponuky</w:t>
      </w:r>
      <w:r w:rsidR="00130CF0" w:rsidRPr="00BD2194">
        <w:rPr>
          <w:rFonts w:ascii="Arial Narrow" w:hAnsi="Arial Narrow" w:cs="Arial"/>
          <w:sz w:val="22"/>
          <w:szCs w:val="22"/>
        </w:rPr>
        <w:t xml:space="preserve"> na </w:t>
      </w:r>
      <w:r>
        <w:rPr>
          <w:rFonts w:ascii="Arial Narrow" w:hAnsi="Arial Narrow" w:cs="Arial"/>
          <w:sz w:val="22"/>
          <w:szCs w:val="22"/>
        </w:rPr>
        <w:t>obe časti, alebo na vybranú časť</w:t>
      </w:r>
      <w:r w:rsidR="00130CF0" w:rsidRPr="00BD2194">
        <w:rPr>
          <w:rFonts w:ascii="Arial Narrow" w:hAnsi="Arial Narrow" w:cs="Arial"/>
          <w:sz w:val="22"/>
          <w:szCs w:val="22"/>
        </w:rPr>
        <w:t>.</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917BBEA" w:rsidR="00593108" w:rsidRPr="00C74D1D"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209F7823" w14:textId="770B8970" w:rsidR="00C66F0F" w:rsidRDefault="008426FA" w:rsidP="009B3C19">
      <w:pPr>
        <w:spacing w:after="0" w:line="240" w:lineRule="auto"/>
        <w:ind w:left="567"/>
        <w:jc w:val="both"/>
        <w:rPr>
          <w:rFonts w:ascii="Arial Narrow" w:hAnsi="Arial Narrow" w:cs="Arial"/>
          <w:b/>
          <w:bCs/>
          <w:smallCaps/>
          <w:sz w:val="22"/>
        </w:rPr>
      </w:pPr>
      <w:r w:rsidRPr="008426FA">
        <w:rPr>
          <w:rFonts w:ascii="Arial Narrow" w:hAnsi="Arial Narrow" w:cs="Arial"/>
          <w:b/>
          <w:bCs/>
          <w:smallCaps/>
          <w:sz w:val="22"/>
        </w:rPr>
        <w:t xml:space="preserve">Pre časť 1. </w:t>
      </w:r>
      <w:r w:rsidRPr="008426FA">
        <w:rPr>
          <w:rFonts w:ascii="Arial Narrow" w:hAnsi="Arial Narrow" w:cs="Arial"/>
          <w:bCs/>
          <w:smallCaps/>
        </w:rPr>
        <w:t>- 1 ks Bratislava, Sklabinská ul.č.1, 1 ks Slovenská Ľupča, Príboj 560, 1 ks Košice, Kuzmányho 8</w:t>
      </w:r>
    </w:p>
    <w:p w14:paraId="4A96CCF5" w14:textId="6D816879" w:rsidR="008426FA" w:rsidRDefault="008426FA" w:rsidP="009B3C19">
      <w:pPr>
        <w:spacing w:after="0" w:line="240" w:lineRule="auto"/>
        <w:ind w:left="567"/>
        <w:jc w:val="both"/>
        <w:rPr>
          <w:rFonts w:ascii="Arial Narrow" w:hAnsi="Arial Narrow" w:cs="Arial"/>
          <w:b/>
          <w:bCs/>
          <w:smallCaps/>
          <w:sz w:val="22"/>
        </w:rPr>
      </w:pPr>
      <w:r w:rsidRPr="008426FA">
        <w:rPr>
          <w:rFonts w:ascii="Arial Narrow" w:hAnsi="Arial Narrow" w:cs="Arial"/>
          <w:b/>
          <w:bCs/>
          <w:smallCaps/>
          <w:sz w:val="22"/>
        </w:rPr>
        <w:t xml:space="preserve">Pre časť 2. - </w:t>
      </w:r>
      <w:proofErr w:type="spellStart"/>
      <w:r w:rsidRPr="008426FA">
        <w:rPr>
          <w:rFonts w:ascii="Arial Narrow" w:hAnsi="Arial Narrow" w:cs="Arial"/>
          <w:bCs/>
          <w:smallCaps/>
        </w:rPr>
        <w:t>Kriminalisticko</w:t>
      </w:r>
      <w:proofErr w:type="spellEnd"/>
      <w:r w:rsidRPr="008426FA">
        <w:rPr>
          <w:rFonts w:ascii="Arial Narrow" w:hAnsi="Arial Narrow" w:cs="Arial"/>
          <w:bCs/>
          <w:smallCaps/>
        </w:rPr>
        <w:t xml:space="preserve"> a expertízny ústavu Policajného zboru  Bratislava, Sklabinská ul.č.1</w:t>
      </w:r>
    </w:p>
    <w:p w14:paraId="21992FBE" w14:textId="77777777" w:rsidR="008426FA" w:rsidRDefault="008426FA"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39F3EE02"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 </w:t>
      </w:r>
      <w:r w:rsidR="008426FA">
        <w:rPr>
          <w:rFonts w:ascii="Arial Narrow" w:hAnsi="Arial Narrow"/>
          <w:sz w:val="22"/>
          <w:szCs w:val="22"/>
        </w:rPr>
        <w:t xml:space="preserve">do </w:t>
      </w:r>
      <w:r w:rsidR="00E94833">
        <w:rPr>
          <w:rFonts w:ascii="Arial Narrow" w:hAnsi="Arial Narrow"/>
          <w:sz w:val="22"/>
          <w:szCs w:val="22"/>
        </w:rPr>
        <w:t>3</w:t>
      </w:r>
      <w:r w:rsidR="008426FA">
        <w:rPr>
          <w:rFonts w:ascii="Arial Narrow" w:hAnsi="Arial Narrow"/>
          <w:sz w:val="22"/>
          <w:szCs w:val="22"/>
        </w:rPr>
        <w:t xml:space="preserve"> mesiacov</w:t>
      </w:r>
      <w:r w:rsidR="009E1831">
        <w:rPr>
          <w:rFonts w:ascii="Arial Narrow" w:hAnsi="Arial Narrow"/>
          <w:sz w:val="22"/>
          <w:szCs w:val="22"/>
        </w:rPr>
        <w:t xml:space="preserve"> </w:t>
      </w:r>
      <w:r w:rsidRPr="003E088A">
        <w:rPr>
          <w:rFonts w:ascii="Arial Narrow" w:hAnsi="Arial Narrow"/>
          <w:sz w:val="22"/>
          <w:szCs w:val="22"/>
        </w:rPr>
        <w:t xml:space="preserve">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prílohe č. 3</w:t>
      </w:r>
      <w:r w:rsidRPr="004C7572">
        <w:rPr>
          <w:rFonts w:ascii="Arial Narrow" w:hAnsi="Arial Narrow"/>
          <w:sz w:val="22"/>
          <w:szCs w:val="22"/>
        </w:rPr>
        <w:t xml:space="preserve"> SP</w:t>
      </w:r>
      <w:r w:rsidR="00646226">
        <w:rPr>
          <w:rFonts w:ascii="Arial Narrow" w:hAnsi="Arial Narrow"/>
          <w:sz w:val="22"/>
          <w:szCs w:val="22"/>
        </w:rPr>
        <w:t xml:space="preserve"> a v prílohe č.1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0EFE355A" w14:textId="77777777" w:rsidR="009E011C" w:rsidRPr="009E011C" w:rsidRDefault="009E011C" w:rsidP="009E011C">
      <w:pPr>
        <w:pStyle w:val="Zkladntext3"/>
        <w:numPr>
          <w:ilvl w:val="1"/>
          <w:numId w:val="27"/>
        </w:numPr>
        <w:spacing w:after="0" w:line="240" w:lineRule="auto"/>
        <w:ind w:left="567" w:hanging="567"/>
        <w:jc w:val="both"/>
        <w:rPr>
          <w:rFonts w:ascii="Arial Narrow" w:hAnsi="Arial Narrow" w:cs="Arial"/>
        </w:rPr>
      </w:pPr>
      <w:bookmarkStart w:id="10" w:name="financovanie"/>
      <w:bookmarkEnd w:id="10"/>
      <w:r w:rsidRPr="009E011C">
        <w:rPr>
          <w:rFonts w:ascii="Arial Narrow" w:hAnsi="Arial Narrow" w:cs="Arial"/>
          <w:sz w:val="22"/>
        </w:rPr>
        <w:t xml:space="preserve">Predmet zákazky bude spolufinancovaný Európskou úniou z Fondu pre vnútornú bezpečnosť, Fondy pre oblasť vnútorných  záležitostí, v rámci projektu </w:t>
      </w:r>
      <w:proofErr w:type="spellStart"/>
      <w:r w:rsidRPr="009E011C">
        <w:rPr>
          <w:rFonts w:ascii="Arial Narrow" w:hAnsi="Arial Narrow" w:cs="Arial"/>
          <w:sz w:val="22"/>
        </w:rPr>
        <w:t>Interoperabilita</w:t>
      </w:r>
      <w:proofErr w:type="spellEnd"/>
      <w:r w:rsidRPr="009E011C">
        <w:rPr>
          <w:rFonts w:ascii="Arial Narrow" w:hAnsi="Arial Narrow" w:cs="Arial"/>
          <w:sz w:val="22"/>
        </w:rPr>
        <w:t>.</w:t>
      </w:r>
    </w:p>
    <w:p w14:paraId="56E87B0B" w14:textId="77777777" w:rsidR="008426FA" w:rsidRPr="008426FA" w:rsidRDefault="0008742B" w:rsidP="009E011C">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p>
    <w:p w14:paraId="03974C94" w14:textId="6B29645A" w:rsidR="008426FA" w:rsidRDefault="008426FA" w:rsidP="008426FA">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Pre časť 1.: </w:t>
      </w:r>
      <w:r w:rsidRPr="008426FA">
        <w:rPr>
          <w:rFonts w:ascii="Arial Narrow" w:hAnsi="Arial Narrow" w:cs="Arial"/>
          <w:b/>
          <w:bCs/>
          <w:sz w:val="22"/>
          <w:szCs w:val="22"/>
        </w:rPr>
        <w:t>193 500,00</w:t>
      </w:r>
      <w:r w:rsidR="00F4682E" w:rsidRPr="00BF72C1">
        <w:rPr>
          <w:rFonts w:ascii="Arial Narrow" w:hAnsi="Arial Narrow" w:cs="Arial"/>
          <w:sz w:val="22"/>
          <w:szCs w:val="22"/>
        </w:rPr>
        <w:t xml:space="preserve"> eur</w:t>
      </w:r>
      <w:r w:rsidR="0008742B" w:rsidRPr="00BF72C1">
        <w:rPr>
          <w:rFonts w:ascii="Arial Narrow" w:hAnsi="Arial Narrow" w:cs="Arial"/>
          <w:sz w:val="22"/>
          <w:szCs w:val="22"/>
        </w:rPr>
        <w:t xml:space="preserve"> bez DPH</w:t>
      </w:r>
    </w:p>
    <w:p w14:paraId="1084EF23" w14:textId="2DAA1366" w:rsidR="0008742B" w:rsidRPr="00BF72C1" w:rsidRDefault="008426FA" w:rsidP="008426FA">
      <w:pPr>
        <w:pStyle w:val="Zkladntext3"/>
        <w:spacing w:after="0" w:line="240" w:lineRule="auto"/>
        <w:ind w:left="567"/>
        <w:jc w:val="both"/>
        <w:rPr>
          <w:rFonts w:ascii="Arial Narrow" w:hAnsi="Arial Narrow" w:cs="Arial"/>
        </w:rPr>
      </w:pPr>
      <w:r>
        <w:rPr>
          <w:rFonts w:ascii="Arial Narrow" w:hAnsi="Arial Narrow" w:cs="Arial"/>
          <w:sz w:val="22"/>
          <w:szCs w:val="22"/>
        </w:rPr>
        <w:t xml:space="preserve">Pre časť 2.:   </w:t>
      </w:r>
      <w:r w:rsidRPr="008426FA">
        <w:rPr>
          <w:rFonts w:ascii="Arial Narrow" w:hAnsi="Arial Narrow" w:cs="Arial"/>
          <w:b/>
          <w:bCs/>
          <w:sz w:val="22"/>
          <w:szCs w:val="22"/>
        </w:rPr>
        <w:t>99 243,00</w:t>
      </w:r>
      <w:r w:rsidRPr="00BF72C1">
        <w:rPr>
          <w:rFonts w:ascii="Arial Narrow" w:hAnsi="Arial Narrow" w:cs="Arial"/>
          <w:sz w:val="22"/>
          <w:szCs w:val="22"/>
        </w:rPr>
        <w:t xml:space="preserve"> eur bez DPH</w:t>
      </w:r>
      <w:r w:rsidR="0008742B" w:rsidRPr="00BF72C1">
        <w:rPr>
          <w:rFonts w:ascii="Arial Narrow" w:hAnsi="Arial Narrow" w:cs="Arial"/>
          <w:sz w:val="22"/>
          <w:szCs w:val="22"/>
        </w:rPr>
        <w:t xml:space="preserve">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w:t>
      </w:r>
      <w:r w:rsidR="002B0D65" w:rsidRPr="00681159">
        <w:rPr>
          <w:rFonts w:ascii="Arial Narrow" w:hAnsi="Arial Narrow" w:cs="Arial"/>
          <w:sz w:val="22"/>
          <w:szCs w:val="22"/>
        </w:rPr>
        <w:lastRenderedPageBreak/>
        <w:t>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C74D1D">
        <w:rPr>
          <w:rFonts w:ascii="Arial Narrow" w:hAnsi="Arial Narrow" w:cs="Arial"/>
          <w:sz w:val="22"/>
          <w:szCs w:val="22"/>
        </w:rPr>
        <w:t xml:space="preserve">uvedie </w:t>
      </w:r>
      <w:r w:rsidR="007D5FA1" w:rsidRPr="00C74D1D">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2AFFF723" w:rsidR="00BF72C1" w:rsidRPr="00C74D1D" w:rsidRDefault="003156C0" w:rsidP="00C74D1D">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C74D1D">
        <w:rPr>
          <w:rFonts w:ascii="Arial Narrow" w:hAnsi="Arial Narrow" w:cs="Arial"/>
          <w:sz w:val="22"/>
        </w:rPr>
        <w:t>ne</w:t>
      </w:r>
      <w:r w:rsidRPr="002B0D65">
        <w:rPr>
          <w:rFonts w:ascii="Arial Narrow" w:hAnsi="Arial Narrow" w:cs="Arial"/>
          <w:sz w:val="22"/>
        </w:rPr>
        <w:t>vyžaduje</w:t>
      </w:r>
      <w:bookmarkEnd w:id="19"/>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20"/>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C5163E9"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sidR="00C74D1D">
        <w:rPr>
          <w:rFonts w:ascii="Arial Narrow" w:hAnsi="Arial Narrow" w:cs="Arial"/>
          <w:sz w:val="22"/>
        </w:rPr>
        <w:t xml:space="preserve"> ak sa požaduje.</w:t>
      </w:r>
      <w:r w:rsidRPr="00F56A14">
        <w:rPr>
          <w:rFonts w:ascii="Arial Narrow" w:hAnsi="Arial Narrow" w:cs="Arial"/>
          <w:sz w:val="22"/>
        </w:rPr>
        <w:t xml:space="preserve">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C40B965" w14:textId="221008D1" w:rsidR="006740A2" w:rsidRPr="006740A2" w:rsidRDefault="00874192" w:rsidP="006740A2">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723FB5F7" w14:textId="77777777" w:rsidR="006740A2" w:rsidRPr="006740A2" w:rsidRDefault="006740A2" w:rsidP="006740A2">
      <w:pPr>
        <w:pStyle w:val="Odsekzoznamu"/>
        <w:numPr>
          <w:ilvl w:val="0"/>
          <w:numId w:val="48"/>
        </w:numPr>
        <w:tabs>
          <w:tab w:val="clear" w:pos="2160"/>
          <w:tab w:val="clear" w:pos="2880"/>
          <w:tab w:val="clear" w:pos="4500"/>
        </w:tabs>
        <w:jc w:val="both"/>
        <w:rPr>
          <w:rFonts w:ascii="Arial Narrow" w:eastAsia="Calibri" w:hAnsi="Arial Narrow" w:cs="Arial"/>
          <w:vanish/>
          <w:sz w:val="2"/>
          <w:szCs w:val="22"/>
          <w:lang w:eastAsia="en-US"/>
        </w:rPr>
      </w:pPr>
    </w:p>
    <w:p w14:paraId="2E0F9232" w14:textId="77777777" w:rsidR="006740A2" w:rsidRPr="006740A2" w:rsidRDefault="006740A2" w:rsidP="006740A2">
      <w:pPr>
        <w:pStyle w:val="Odsekzoznamu"/>
        <w:numPr>
          <w:ilvl w:val="0"/>
          <w:numId w:val="48"/>
        </w:numPr>
        <w:tabs>
          <w:tab w:val="clear" w:pos="2160"/>
          <w:tab w:val="clear" w:pos="2880"/>
          <w:tab w:val="clear" w:pos="4500"/>
        </w:tabs>
        <w:jc w:val="both"/>
        <w:rPr>
          <w:rFonts w:ascii="Arial Narrow" w:eastAsia="Calibri" w:hAnsi="Arial Narrow" w:cs="Arial"/>
          <w:vanish/>
          <w:sz w:val="2"/>
          <w:szCs w:val="22"/>
          <w:lang w:eastAsia="en-US"/>
        </w:rPr>
      </w:pPr>
    </w:p>
    <w:p w14:paraId="091AE4DD" w14:textId="77777777" w:rsidR="006740A2" w:rsidRPr="006740A2" w:rsidRDefault="006740A2" w:rsidP="006740A2">
      <w:pPr>
        <w:pStyle w:val="Odsekzoznamu"/>
        <w:numPr>
          <w:ilvl w:val="0"/>
          <w:numId w:val="48"/>
        </w:numPr>
        <w:tabs>
          <w:tab w:val="clear" w:pos="2160"/>
          <w:tab w:val="clear" w:pos="2880"/>
          <w:tab w:val="clear" w:pos="4500"/>
        </w:tabs>
        <w:jc w:val="both"/>
        <w:rPr>
          <w:rFonts w:ascii="Arial Narrow" w:eastAsia="Calibri" w:hAnsi="Arial Narrow" w:cs="Arial"/>
          <w:vanish/>
          <w:sz w:val="2"/>
          <w:szCs w:val="22"/>
          <w:lang w:eastAsia="en-US"/>
        </w:rPr>
      </w:pPr>
    </w:p>
    <w:p w14:paraId="6573CDEE" w14:textId="77777777" w:rsidR="006740A2" w:rsidRPr="006740A2" w:rsidRDefault="006740A2" w:rsidP="006740A2">
      <w:pPr>
        <w:pStyle w:val="Odsekzoznamu"/>
        <w:numPr>
          <w:ilvl w:val="0"/>
          <w:numId w:val="48"/>
        </w:numPr>
        <w:tabs>
          <w:tab w:val="clear" w:pos="2160"/>
          <w:tab w:val="clear" w:pos="2880"/>
          <w:tab w:val="clear" w:pos="4500"/>
        </w:tabs>
        <w:jc w:val="both"/>
        <w:rPr>
          <w:rFonts w:ascii="Arial Narrow" w:eastAsia="Calibri" w:hAnsi="Arial Narrow" w:cs="Arial"/>
          <w:vanish/>
          <w:sz w:val="2"/>
          <w:szCs w:val="22"/>
          <w:lang w:eastAsia="en-US"/>
        </w:rPr>
      </w:pPr>
    </w:p>
    <w:p w14:paraId="52832B8D" w14:textId="548822A1" w:rsidR="00065F6B" w:rsidRPr="00BD2194" w:rsidRDefault="00065F6B" w:rsidP="006740A2">
      <w:pPr>
        <w:pStyle w:val="Zkladntext3"/>
        <w:numPr>
          <w:ilvl w:val="1"/>
          <w:numId w:val="48"/>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740A2">
      <w:pPr>
        <w:pStyle w:val="Zkladntext3"/>
        <w:numPr>
          <w:ilvl w:val="1"/>
          <w:numId w:val="48"/>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740A2">
      <w:pPr>
        <w:pStyle w:val="Zkladntext3"/>
        <w:numPr>
          <w:ilvl w:val="1"/>
          <w:numId w:val="4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740A2">
      <w:pPr>
        <w:pStyle w:val="Zkladntext3"/>
        <w:numPr>
          <w:ilvl w:val="1"/>
          <w:numId w:val="4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sidRPr="006740A2">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2DFB5F5" w:rsidR="003C0DA5" w:rsidRPr="00BD2194"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Typ Z</w:t>
      </w:r>
      <w:r w:rsidR="00065F6B" w:rsidRPr="00BD2194">
        <w:rPr>
          <w:rFonts w:ascii="Arial Narrow" w:hAnsi="Arial Narrow" w:cs="Arial"/>
          <w:sz w:val="22"/>
          <w:szCs w:val="22"/>
        </w:rPr>
        <w:t>mluvy n</w:t>
      </w:r>
      <w:r w:rsidR="006740A2">
        <w:rPr>
          <w:rFonts w:ascii="Arial Narrow" w:hAnsi="Arial Narrow" w:cs="Arial"/>
          <w:sz w:val="22"/>
          <w:szCs w:val="22"/>
        </w:rPr>
        <w:t xml:space="preserve">a poskytnutie predmetu zákazky: </w:t>
      </w:r>
      <w:r w:rsidR="006740A2" w:rsidRPr="006740A2">
        <w:rPr>
          <w:rFonts w:ascii="Arial Narrow" w:hAnsi="Arial Narrow" w:cs="Arial"/>
          <w:b/>
          <w:sz w:val="22"/>
          <w:szCs w:val="22"/>
        </w:rPr>
        <w:t>Kúpna zmluva</w:t>
      </w:r>
      <w:r w:rsidR="004D5140">
        <w:rPr>
          <w:rFonts w:ascii="Arial Narrow" w:hAnsi="Arial Narrow" w:cs="Arial"/>
          <w:b/>
          <w:sz w:val="22"/>
          <w:szCs w:val="22"/>
        </w:rPr>
        <w:t xml:space="preserve">, </w:t>
      </w:r>
      <w:r w:rsidR="004D5140" w:rsidRPr="004D5140">
        <w:rPr>
          <w:rFonts w:ascii="Arial Narrow" w:hAnsi="Arial Narrow" w:cs="Arial"/>
          <w:sz w:val="22"/>
          <w:szCs w:val="22"/>
        </w:rPr>
        <w:t>pre každú časť zákazky samostatne</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lastRenderedPageBreak/>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6BE06B21"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Pr>
          <w:rFonts w:ascii="Arial Narrow" w:hAnsi="Arial Narrow" w:cs="Arial"/>
          <w:sz w:val="22"/>
        </w:rPr>
        <w:t xml:space="preserve">po vyzvaní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62C68B28" w:rsidR="00026F2C" w:rsidRPr="00026F2C" w:rsidRDefault="00D2090E" w:rsidP="00026F2C">
      <w:pPr>
        <w:pStyle w:val="Zkladntext3"/>
        <w:numPr>
          <w:ilvl w:val="1"/>
          <w:numId w:val="39"/>
        </w:numPr>
        <w:spacing w:after="0" w:line="240" w:lineRule="auto"/>
        <w:ind w:left="567" w:hanging="567"/>
        <w:jc w:val="both"/>
        <w:rPr>
          <w:rFonts w:ascii="Arial Narrow" w:hAnsi="Arial Narrow" w:cs="Arial"/>
          <w:b/>
          <w:sz w:val="22"/>
        </w:rPr>
      </w:pPr>
      <w:bookmarkStart w:id="42" w:name="_Hlk534982438"/>
      <w:r>
        <w:rPr>
          <w:rFonts w:ascii="Arial Narrow" w:hAnsi="Arial Narrow" w:cs="Arial"/>
          <w:b/>
          <w:sz w:val="22"/>
        </w:rPr>
        <w:t>Verejný obstarávateľ</w:t>
      </w:r>
      <w:r w:rsidR="00026F2C" w:rsidRPr="00026F2C">
        <w:rPr>
          <w:rFonts w:ascii="Arial Narrow" w:hAnsi="Arial Narrow" w:cs="Arial"/>
          <w:b/>
          <w:sz w:val="22"/>
        </w:rPr>
        <w:t xml:space="preserve"> nesmie uzavrieť zmluvu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w:t>
      </w:r>
      <w:bookmarkStart w:id="43" w:name="_GoBack"/>
      <w:bookmarkEnd w:id="43"/>
      <w:r>
        <w:rPr>
          <w:rFonts w:ascii="Arial Narrow" w:hAnsi="Arial Narrow"/>
          <w:sz w:val="22"/>
        </w:rPr>
        <w:t>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472CCFBC" w14:textId="77777777" w:rsidR="00026F2C" w:rsidRP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a ktorého konečným užívateľom výhod zapísaným v registri partnerov verejného sektora je</w:t>
      </w:r>
    </w:p>
    <w:p w14:paraId="1D2A2F8C"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w:t>
      </w:r>
      <w:r w:rsidRPr="00026F2C">
        <w:rPr>
          <w:rFonts w:ascii="Arial Narrow" w:hAnsi="Arial Narrow"/>
          <w:sz w:val="22"/>
        </w:rPr>
        <w:tab/>
        <w:t>prezident Slovenskej republiky,</w:t>
      </w:r>
    </w:p>
    <w:p w14:paraId="766ED5F0"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2.</w:t>
      </w:r>
      <w:r w:rsidRPr="00026F2C">
        <w:rPr>
          <w:rFonts w:ascii="Arial Narrow" w:hAnsi="Arial Narrow"/>
          <w:sz w:val="22"/>
        </w:rPr>
        <w:tab/>
        <w:t>člen vlády,</w:t>
      </w:r>
    </w:p>
    <w:p w14:paraId="15124E5A"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3.</w:t>
      </w:r>
      <w:r w:rsidRPr="00026F2C">
        <w:rPr>
          <w:rFonts w:ascii="Arial Narrow" w:hAnsi="Arial Narrow"/>
          <w:sz w:val="22"/>
        </w:rPr>
        <w:tab/>
        <w:t>vedúci ústredného orgánu štátnej správy, ktorý nie je členom vlády,</w:t>
      </w:r>
    </w:p>
    <w:p w14:paraId="7A549767"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4.</w:t>
      </w:r>
      <w:r w:rsidRPr="00026F2C">
        <w:rPr>
          <w:rFonts w:ascii="Arial Narrow" w:hAnsi="Arial Narrow"/>
          <w:sz w:val="22"/>
        </w:rPr>
        <w:tab/>
        <w:t>vedúci orgánu štátnej správy s celoslovenskou pôsobnosťou,</w:t>
      </w:r>
    </w:p>
    <w:p w14:paraId="1A4139EA"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5.</w:t>
      </w:r>
      <w:r w:rsidRPr="00026F2C">
        <w:rPr>
          <w:rFonts w:ascii="Arial Narrow" w:hAnsi="Arial Narrow"/>
          <w:sz w:val="22"/>
        </w:rPr>
        <w:tab/>
        <w:t>sudca Ústavného súdu Slovenskej republiky alebo sudca,</w:t>
      </w:r>
    </w:p>
    <w:p w14:paraId="53578446"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6.</w:t>
      </w:r>
      <w:r w:rsidRPr="00026F2C">
        <w:rPr>
          <w:rFonts w:ascii="Arial Narrow" w:hAnsi="Arial Narrow"/>
          <w:sz w:val="22"/>
        </w:rPr>
        <w:tab/>
        <w:t>generálny prokurátor Slovenskej republiky, špeciálny prokurátor alebo prokurátor,</w:t>
      </w:r>
    </w:p>
    <w:p w14:paraId="5F7A4918"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7.</w:t>
      </w:r>
      <w:r w:rsidRPr="00026F2C">
        <w:rPr>
          <w:rFonts w:ascii="Arial Narrow" w:hAnsi="Arial Narrow"/>
          <w:sz w:val="22"/>
        </w:rPr>
        <w:tab/>
        <w:t>verejný ochranca práv,</w:t>
      </w:r>
    </w:p>
    <w:p w14:paraId="71530B7C" w14:textId="77777777" w:rsidR="00026F2C" w:rsidRPr="00026F2C" w:rsidRDefault="00026F2C" w:rsidP="00026F2C">
      <w:pPr>
        <w:spacing w:after="0" w:line="240" w:lineRule="auto"/>
        <w:ind w:left="1407" w:hanging="480"/>
        <w:jc w:val="both"/>
        <w:rPr>
          <w:rFonts w:ascii="Arial Narrow" w:hAnsi="Arial Narrow"/>
          <w:sz w:val="22"/>
        </w:rPr>
      </w:pPr>
      <w:r w:rsidRPr="00026F2C">
        <w:rPr>
          <w:rFonts w:ascii="Arial Narrow" w:hAnsi="Arial Narrow"/>
          <w:sz w:val="22"/>
        </w:rPr>
        <w:t>8.</w:t>
      </w:r>
      <w:r w:rsidRPr="00026F2C">
        <w:rPr>
          <w:rFonts w:ascii="Arial Narrow" w:hAnsi="Arial Narrow"/>
          <w:sz w:val="22"/>
        </w:rPr>
        <w:tab/>
        <w:t>predseda Najvyššieho kontrolného úradu Slovenskej republiky a podpredseda Najvyššieho kontrolného úradu Slovenskej republiky,</w:t>
      </w:r>
    </w:p>
    <w:p w14:paraId="19EC9839"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9.</w:t>
      </w:r>
      <w:r w:rsidRPr="00026F2C">
        <w:rPr>
          <w:rFonts w:ascii="Arial Narrow" w:hAnsi="Arial Narrow"/>
          <w:sz w:val="22"/>
        </w:rPr>
        <w:tab/>
        <w:t>štátny tajomník,</w:t>
      </w:r>
    </w:p>
    <w:p w14:paraId="24988612"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10.</w:t>
      </w:r>
      <w:r w:rsidRPr="00026F2C">
        <w:rPr>
          <w:rFonts w:ascii="Arial Narrow" w:hAnsi="Arial Narrow"/>
          <w:sz w:val="22"/>
        </w:rPr>
        <w:tab/>
        <w:t>generálny tajomník služobného úradu,</w:t>
      </w:r>
    </w:p>
    <w:p w14:paraId="0A5C1F55"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11.</w:t>
      </w:r>
      <w:r w:rsidRPr="00026F2C">
        <w:rPr>
          <w:rFonts w:ascii="Arial Narrow" w:hAnsi="Arial Narrow"/>
          <w:sz w:val="22"/>
        </w:rPr>
        <w:tab/>
        <w:t>prednosta okresného úradu,</w:t>
      </w:r>
    </w:p>
    <w:p w14:paraId="0B2ABB9A" w14:textId="77777777" w:rsidR="00026F2C" w:rsidRPr="00026F2C" w:rsidRDefault="00026F2C" w:rsidP="00026F2C">
      <w:pPr>
        <w:spacing w:after="0" w:line="240" w:lineRule="auto"/>
        <w:ind w:left="1407" w:hanging="480"/>
        <w:jc w:val="both"/>
        <w:rPr>
          <w:rFonts w:ascii="Arial Narrow" w:hAnsi="Arial Narrow"/>
          <w:sz w:val="22"/>
        </w:rPr>
      </w:pPr>
      <w:r w:rsidRPr="00026F2C">
        <w:rPr>
          <w:rFonts w:ascii="Arial Narrow" w:hAnsi="Arial Narrow"/>
          <w:sz w:val="22"/>
        </w:rPr>
        <w:t>12.</w:t>
      </w:r>
      <w:r w:rsidRPr="00026F2C">
        <w:rPr>
          <w:rFonts w:ascii="Arial Narrow" w:hAnsi="Arial Narrow"/>
          <w:sz w:val="22"/>
        </w:rPr>
        <w:tab/>
        <w:t>primátor hlavného mesta Slovenskej republiky Bratislavy, primátor krajského mesta alebo primátor okresného mesta, alebo</w:t>
      </w:r>
    </w:p>
    <w:p w14:paraId="016BAD82"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13.</w:t>
      </w:r>
      <w:r w:rsidRPr="00026F2C">
        <w:rPr>
          <w:rFonts w:ascii="Arial Narrow" w:hAnsi="Arial Narrow"/>
          <w:sz w:val="22"/>
        </w:rPr>
        <w:tab/>
        <w:t>predseda vyššieho územného celku,</w:t>
      </w:r>
    </w:p>
    <w:p w14:paraId="0AFE095B" w14:textId="76CBA723" w:rsidR="00026F2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DD7E305" w14:textId="65BE2601" w:rsidR="00CA15C5" w:rsidRPr="009E1831" w:rsidRDefault="00CA15C5" w:rsidP="00F822FC">
      <w:pPr>
        <w:pStyle w:val="Odsekzoznamu"/>
        <w:numPr>
          <w:ilvl w:val="0"/>
          <w:numId w:val="47"/>
        </w:numPr>
        <w:rPr>
          <w:rFonts w:ascii="Arial Narrow" w:eastAsia="Calibri" w:hAnsi="Arial Narrow"/>
          <w:sz w:val="22"/>
          <w:szCs w:val="22"/>
          <w:lang w:eastAsia="en-US"/>
        </w:rPr>
      </w:pPr>
      <w:r w:rsidRPr="009E1831">
        <w:rPr>
          <w:rFonts w:ascii="Arial Narrow" w:eastAsia="Calibri" w:hAnsi="Arial Narrow"/>
          <w:sz w:val="22"/>
          <w:szCs w:val="22"/>
          <w:lang w:eastAsia="en-US"/>
        </w:rPr>
        <w:t xml:space="preserve">uchádzačom, ktorý pred podpisom zmluvy nepredloží certifikáty </w:t>
      </w:r>
      <w:r w:rsidRPr="009E1831">
        <w:rPr>
          <w:rFonts w:ascii="Arial Narrow" w:hAnsi="Arial Narrow"/>
          <w:sz w:val="22"/>
          <w:szCs w:val="22"/>
        </w:rPr>
        <w:t xml:space="preserve">o bezpečnostnej previerke fyzickej osoby </w:t>
      </w:r>
      <w:r w:rsidRPr="009E1831">
        <w:rPr>
          <w:rFonts w:ascii="Arial Narrow" w:eastAsia="Calibri" w:hAnsi="Arial Narrow"/>
          <w:sz w:val="22"/>
          <w:szCs w:val="22"/>
          <w:lang w:eastAsia="en-US"/>
        </w:rPr>
        <w:t>kľúčových expertov</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23FD8" w14:textId="77777777" w:rsidR="0055346D" w:rsidRDefault="0055346D" w:rsidP="00116B5E">
      <w:pPr>
        <w:spacing w:after="0" w:line="240" w:lineRule="auto"/>
      </w:pPr>
      <w:r>
        <w:separator/>
      </w:r>
    </w:p>
  </w:endnote>
  <w:endnote w:type="continuationSeparator" w:id="0">
    <w:p w14:paraId="7A4D9FE3" w14:textId="77777777" w:rsidR="0055346D" w:rsidRDefault="0055346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sdtContent>
      <w:p w14:paraId="5618DFAC" w14:textId="7CB4B538" w:rsidR="00F822FC" w:rsidRDefault="00F822FC">
        <w:pPr>
          <w:pStyle w:val="Pta"/>
          <w:jc w:val="center"/>
        </w:pPr>
        <w:r>
          <w:fldChar w:fldCharType="begin"/>
        </w:r>
        <w:r>
          <w:instrText>PAGE   \* MERGEFORMAT</w:instrText>
        </w:r>
        <w:r>
          <w:fldChar w:fldCharType="separate"/>
        </w:r>
        <w:r w:rsidR="00546C33" w:rsidRPr="00546C33">
          <w:rPr>
            <w:noProof/>
            <w:lang w:val="sk-SK"/>
          </w:rPr>
          <w:t>7</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3E683" w14:textId="77777777" w:rsidR="0055346D" w:rsidRDefault="0055346D" w:rsidP="00116B5E">
      <w:pPr>
        <w:spacing w:after="0" w:line="240" w:lineRule="auto"/>
      </w:pPr>
      <w:r>
        <w:separator/>
      </w:r>
    </w:p>
  </w:footnote>
  <w:footnote w:type="continuationSeparator" w:id="0">
    <w:p w14:paraId="6440ECF1" w14:textId="77777777" w:rsidR="0055346D" w:rsidRDefault="0055346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786"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FDD21EE8"/>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hint="default"/>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D31C97"/>
    <w:multiLevelType w:val="multilevel"/>
    <w:tmpl w:val="61022562"/>
    <w:lvl w:ilvl="0">
      <w:start w:val="15"/>
      <w:numFmt w:val="decimal"/>
      <w:lvlText w:val="%1"/>
      <w:lvlJc w:val="left"/>
      <w:pPr>
        <w:ind w:left="928" w:hanging="360"/>
      </w:pPr>
      <w:rPr>
        <w:rFonts w:hint="default"/>
        <w:color w:val="FFFFFF" w:themeColor="background1"/>
        <w:sz w:val="2"/>
      </w:rPr>
    </w:lvl>
    <w:lvl w:ilvl="1">
      <w:start w:val="1"/>
      <w:numFmt w:val="decimal"/>
      <w:lvlText w:val="%1.%2"/>
      <w:lvlJc w:val="left"/>
      <w:pPr>
        <w:ind w:left="1078" w:hanging="360"/>
      </w:pPr>
      <w:rPr>
        <w:rFonts w:hint="default"/>
      </w:rPr>
    </w:lvl>
    <w:lvl w:ilvl="2">
      <w:start w:val="1"/>
      <w:numFmt w:val="decimal"/>
      <w:lvlText w:val="%1.%2.%3"/>
      <w:lvlJc w:val="left"/>
      <w:pPr>
        <w:ind w:left="2014" w:hanging="720"/>
      </w:pPr>
      <w:rPr>
        <w:rFonts w:hint="default"/>
        <w:i w:val="0"/>
      </w:rPr>
    </w:lvl>
    <w:lvl w:ilvl="3">
      <w:start w:val="1"/>
      <w:numFmt w:val="decimal"/>
      <w:lvlText w:val="%1.%2.%3.%4"/>
      <w:lvlJc w:val="left"/>
      <w:pPr>
        <w:ind w:left="2590" w:hanging="720"/>
      </w:pPr>
      <w:rPr>
        <w:rFonts w:hint="default"/>
      </w:rPr>
    </w:lvl>
    <w:lvl w:ilvl="4">
      <w:start w:val="1"/>
      <w:numFmt w:val="decimal"/>
      <w:lvlText w:val="%1.%2.%3.%4.%5"/>
      <w:lvlJc w:val="left"/>
      <w:pPr>
        <w:ind w:left="3166" w:hanging="720"/>
      </w:pPr>
      <w:rPr>
        <w:rFonts w:hint="default"/>
      </w:rPr>
    </w:lvl>
    <w:lvl w:ilvl="5">
      <w:start w:val="1"/>
      <w:numFmt w:val="decimal"/>
      <w:lvlText w:val="%1.%2.%3.%4.%5.%6"/>
      <w:lvlJc w:val="left"/>
      <w:pPr>
        <w:ind w:left="4102" w:hanging="1080"/>
      </w:pPr>
      <w:rPr>
        <w:rFonts w:hint="default"/>
      </w:rPr>
    </w:lvl>
    <w:lvl w:ilvl="6">
      <w:start w:val="1"/>
      <w:numFmt w:val="decimal"/>
      <w:lvlText w:val="%1.%2.%3.%4.%5.%6.%7"/>
      <w:lvlJc w:val="left"/>
      <w:pPr>
        <w:ind w:left="4678" w:hanging="1080"/>
      </w:pPr>
      <w:rPr>
        <w:rFonts w:hint="default"/>
      </w:rPr>
    </w:lvl>
    <w:lvl w:ilvl="7">
      <w:start w:val="1"/>
      <w:numFmt w:val="decimal"/>
      <w:lvlText w:val="%1.%2.%3.%4.%5.%6.%7.%8"/>
      <w:lvlJc w:val="left"/>
      <w:pPr>
        <w:ind w:left="5614" w:hanging="1440"/>
      </w:pPr>
      <w:rPr>
        <w:rFonts w:hint="default"/>
      </w:rPr>
    </w:lvl>
    <w:lvl w:ilvl="8">
      <w:start w:val="1"/>
      <w:numFmt w:val="decimal"/>
      <w:lvlText w:val="%1.%2.%3.%4.%5.%6.%7.%8.%9"/>
      <w:lvlJc w:val="left"/>
      <w:pPr>
        <w:ind w:left="6190" w:hanging="1440"/>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7"/>
  </w:num>
  <w:num w:numId="3">
    <w:abstractNumId w:val="36"/>
  </w:num>
  <w:num w:numId="4">
    <w:abstractNumId w:val="27"/>
  </w:num>
  <w:num w:numId="5">
    <w:abstractNumId w:val="42"/>
  </w:num>
  <w:num w:numId="6">
    <w:abstractNumId w:val="44"/>
  </w:num>
  <w:num w:numId="7">
    <w:abstractNumId w:val="8"/>
  </w:num>
  <w:num w:numId="8">
    <w:abstractNumId w:val="33"/>
  </w:num>
  <w:num w:numId="9">
    <w:abstractNumId w:val="39"/>
  </w:num>
  <w:num w:numId="10">
    <w:abstractNumId w:val="14"/>
  </w:num>
  <w:num w:numId="11">
    <w:abstractNumId w:val="4"/>
  </w:num>
  <w:num w:numId="12">
    <w:abstractNumId w:val="26"/>
  </w:num>
  <w:num w:numId="13">
    <w:abstractNumId w:val="9"/>
  </w:num>
  <w:num w:numId="14">
    <w:abstractNumId w:val="16"/>
  </w:num>
  <w:num w:numId="15">
    <w:abstractNumId w:val="11"/>
  </w:num>
  <w:num w:numId="16">
    <w:abstractNumId w:val="43"/>
  </w:num>
  <w:num w:numId="17">
    <w:abstractNumId w:val="29"/>
  </w:num>
  <w:num w:numId="18">
    <w:abstractNumId w:val="23"/>
  </w:num>
  <w:num w:numId="19">
    <w:abstractNumId w:val="40"/>
  </w:num>
  <w:num w:numId="20">
    <w:abstractNumId w:val="12"/>
  </w:num>
  <w:num w:numId="21">
    <w:abstractNumId w:val="46"/>
  </w:num>
  <w:num w:numId="22">
    <w:abstractNumId w:val="2"/>
  </w:num>
  <w:num w:numId="23">
    <w:abstractNumId w:val="28"/>
  </w:num>
  <w:num w:numId="24">
    <w:abstractNumId w:val="21"/>
  </w:num>
  <w:num w:numId="25">
    <w:abstractNumId w:val="3"/>
  </w:num>
  <w:num w:numId="26">
    <w:abstractNumId w:val="15"/>
  </w:num>
  <w:num w:numId="27">
    <w:abstractNumId w:val="1"/>
  </w:num>
  <w:num w:numId="28">
    <w:abstractNumId w:val="41"/>
  </w:num>
  <w:num w:numId="29">
    <w:abstractNumId w:val="35"/>
  </w:num>
  <w:num w:numId="30">
    <w:abstractNumId w:val="30"/>
  </w:num>
  <w:num w:numId="31">
    <w:abstractNumId w:val="31"/>
  </w:num>
  <w:num w:numId="32">
    <w:abstractNumId w:val="37"/>
  </w:num>
  <w:num w:numId="33">
    <w:abstractNumId w:val="0"/>
  </w:num>
  <w:num w:numId="34">
    <w:abstractNumId w:val="7"/>
  </w:num>
  <w:num w:numId="35">
    <w:abstractNumId w:val="19"/>
  </w:num>
  <w:num w:numId="36">
    <w:abstractNumId w:val="47"/>
  </w:num>
  <w:num w:numId="37">
    <w:abstractNumId w:val="38"/>
  </w:num>
  <w:num w:numId="38">
    <w:abstractNumId w:val="22"/>
  </w:num>
  <w:num w:numId="39">
    <w:abstractNumId w:val="13"/>
  </w:num>
  <w:num w:numId="40">
    <w:abstractNumId w:val="10"/>
  </w:num>
  <w:num w:numId="41">
    <w:abstractNumId w:val="32"/>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5"/>
  </w:num>
  <w:num w:numId="46">
    <w:abstractNumId w:val="20"/>
  </w:num>
  <w:num w:numId="47">
    <w:abstractNumId w:val="34"/>
  </w:num>
  <w:num w:numId="4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4906"/>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1F7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2AC4"/>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62A3"/>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2E4E"/>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A5F3F"/>
    <w:rsid w:val="004B2492"/>
    <w:rsid w:val="004B2BBF"/>
    <w:rsid w:val="004B2C30"/>
    <w:rsid w:val="004B4339"/>
    <w:rsid w:val="004B491E"/>
    <w:rsid w:val="004C00F5"/>
    <w:rsid w:val="004C14DD"/>
    <w:rsid w:val="004C5988"/>
    <w:rsid w:val="004C5EFB"/>
    <w:rsid w:val="004C7572"/>
    <w:rsid w:val="004D05A9"/>
    <w:rsid w:val="004D5140"/>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C33"/>
    <w:rsid w:val="00546FC2"/>
    <w:rsid w:val="0054770F"/>
    <w:rsid w:val="005504C9"/>
    <w:rsid w:val="00550E41"/>
    <w:rsid w:val="00551102"/>
    <w:rsid w:val="00552156"/>
    <w:rsid w:val="005526F7"/>
    <w:rsid w:val="00552E35"/>
    <w:rsid w:val="00552FBE"/>
    <w:rsid w:val="0055346D"/>
    <w:rsid w:val="00555E7F"/>
    <w:rsid w:val="00556AB3"/>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0C7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1FE"/>
    <w:rsid w:val="006143D6"/>
    <w:rsid w:val="00614B70"/>
    <w:rsid w:val="00615C72"/>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226"/>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40A2"/>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498D"/>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2021"/>
    <w:rsid w:val="007A5913"/>
    <w:rsid w:val="007A7D75"/>
    <w:rsid w:val="007A7F35"/>
    <w:rsid w:val="007B036B"/>
    <w:rsid w:val="007B127E"/>
    <w:rsid w:val="007B12A5"/>
    <w:rsid w:val="007B432F"/>
    <w:rsid w:val="007B75C4"/>
    <w:rsid w:val="007C355C"/>
    <w:rsid w:val="007C37AA"/>
    <w:rsid w:val="007C3FFE"/>
    <w:rsid w:val="007C4CF4"/>
    <w:rsid w:val="007C52CF"/>
    <w:rsid w:val="007C70AD"/>
    <w:rsid w:val="007C72AE"/>
    <w:rsid w:val="007D0308"/>
    <w:rsid w:val="007D1705"/>
    <w:rsid w:val="007D20B0"/>
    <w:rsid w:val="007D20C7"/>
    <w:rsid w:val="007D4505"/>
    <w:rsid w:val="007D5FA1"/>
    <w:rsid w:val="007D721B"/>
    <w:rsid w:val="007E04DC"/>
    <w:rsid w:val="007E0856"/>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26FA"/>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2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3980"/>
    <w:rsid w:val="008B4365"/>
    <w:rsid w:val="008B4BD0"/>
    <w:rsid w:val="008B6348"/>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011C"/>
    <w:rsid w:val="009E1831"/>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1CC"/>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4D1D"/>
    <w:rsid w:val="00C766EE"/>
    <w:rsid w:val="00C77D58"/>
    <w:rsid w:val="00C80549"/>
    <w:rsid w:val="00C80F5B"/>
    <w:rsid w:val="00C81E14"/>
    <w:rsid w:val="00C8217D"/>
    <w:rsid w:val="00C8293D"/>
    <w:rsid w:val="00C85374"/>
    <w:rsid w:val="00C8704E"/>
    <w:rsid w:val="00C91AEA"/>
    <w:rsid w:val="00C92CE8"/>
    <w:rsid w:val="00C968CA"/>
    <w:rsid w:val="00CA026C"/>
    <w:rsid w:val="00CA0B37"/>
    <w:rsid w:val="00CA15C5"/>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090E"/>
    <w:rsid w:val="00D215BF"/>
    <w:rsid w:val="00D232D4"/>
    <w:rsid w:val="00D23ED7"/>
    <w:rsid w:val="00D247C9"/>
    <w:rsid w:val="00D2528B"/>
    <w:rsid w:val="00D25694"/>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6055"/>
    <w:rsid w:val="00E87AEC"/>
    <w:rsid w:val="00E91868"/>
    <w:rsid w:val="00E92B4F"/>
    <w:rsid w:val="00E93545"/>
    <w:rsid w:val="00E947D5"/>
    <w:rsid w:val="00E94833"/>
    <w:rsid w:val="00E94E0E"/>
    <w:rsid w:val="00EA3828"/>
    <w:rsid w:val="00EA3D17"/>
    <w:rsid w:val="00EA678E"/>
    <w:rsid w:val="00EA79D2"/>
    <w:rsid w:val="00EB18BC"/>
    <w:rsid w:val="00EB2F3A"/>
    <w:rsid w:val="00EB3969"/>
    <w:rsid w:val="00EB4B34"/>
    <w:rsid w:val="00EB544A"/>
    <w:rsid w:val="00EB5F25"/>
    <w:rsid w:val="00EB68A9"/>
    <w:rsid w:val="00EB713B"/>
    <w:rsid w:val="00EC4DDC"/>
    <w:rsid w:val="00EC74EB"/>
    <w:rsid w:val="00EC7C8B"/>
    <w:rsid w:val="00ED36F4"/>
    <w:rsid w:val="00ED4AAE"/>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8285021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41800367">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purl.org/dc/terms/"/>
    <ds:schemaRef ds:uri="2f8cdeaf-f28a-4b27-9cb0-1672fcefe82f"/>
    <ds:schemaRef ds:uri="http://schemas.openxmlformats.org/package/2006/metadata/core-properties"/>
    <ds:schemaRef ds:uri="7f1e6478-e63a-4581-a2ca-9ffdcf0e0623"/>
  </ds:schemaRefs>
</ds:datastoreItem>
</file>

<file path=customXml/itemProps3.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E9BA6-DD33-46EC-9613-820ABA64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3922</Words>
  <Characters>22358</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26228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2021-12-22T11:44:00Z</dcterms:created>
  <dcterms:modified xsi:type="dcterms:W3CDTF">2024-07-23T14:32:00Z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