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D5EA8" w14:textId="77777777" w:rsidR="006A4FEF" w:rsidRDefault="006A4FEF" w:rsidP="00A32438">
      <w:pPr>
        <w:pStyle w:val="A1Heading"/>
        <w:tabs>
          <w:tab w:val="clear" w:pos="360"/>
        </w:tabs>
        <w:spacing w:before="0" w:after="0" w:line="276" w:lineRule="auto"/>
      </w:pPr>
      <w:bookmarkStart w:id="0" w:name="_Ref116631006"/>
      <w:bookmarkStart w:id="1" w:name="_Toc173255500"/>
    </w:p>
    <w:p w14:paraId="495D2F77" w14:textId="589B4A47" w:rsidR="00A32438" w:rsidRDefault="00A32438" w:rsidP="00A32438">
      <w:pPr>
        <w:pStyle w:val="A1Heading"/>
        <w:tabs>
          <w:tab w:val="clear" w:pos="360"/>
        </w:tabs>
        <w:spacing w:before="0" w:after="0" w:line="276" w:lineRule="auto"/>
      </w:pPr>
      <w:r>
        <w:t xml:space="preserve">Príloha č. 2 Rámcovej dohody o dodávke elektrickej energie - </w:t>
      </w:r>
      <w:r w:rsidRPr="005E62C9">
        <w:t>Opis predmetu zákazky</w:t>
      </w:r>
      <w:r>
        <w:t xml:space="preserve"> </w:t>
      </w:r>
      <w:bookmarkEnd w:id="0"/>
      <w:bookmarkEnd w:id="1"/>
    </w:p>
    <w:p w14:paraId="5EF3BEBD" w14:textId="77777777" w:rsidR="00A32438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  <w:bookmarkStart w:id="2" w:name="OLE_LINK95"/>
    </w:p>
    <w:p w14:paraId="16F2D3FB" w14:textId="44C89B1F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 xml:space="preserve">Predmetom zákazky je zabezpečenie dodávky elektriny, distribúcie elektriny do odberných miest Verejného obstarávateľa a prevzatie zodpovednosti za odchýlku v odberných miestach verejného obstarávateľa voči </w:t>
      </w:r>
      <w:proofErr w:type="spellStart"/>
      <w:r w:rsidRPr="003D0761">
        <w:rPr>
          <w:rFonts w:asciiTheme="minorHAnsi" w:hAnsiTheme="minorHAnsi" w:cstheme="minorHAnsi"/>
          <w:szCs w:val="20"/>
          <w:lang w:eastAsia="en-US"/>
        </w:rPr>
        <w:t>zúčtovateľovi</w:t>
      </w:r>
      <w:proofErr w:type="spellEnd"/>
      <w:r w:rsidRPr="003D0761">
        <w:rPr>
          <w:rFonts w:asciiTheme="minorHAnsi" w:hAnsiTheme="minorHAnsi" w:cstheme="minorHAnsi"/>
          <w:szCs w:val="20"/>
          <w:lang w:eastAsia="en-US"/>
        </w:rPr>
        <w:t xml:space="preserve"> odchýlok formou Zmluvy o dodávke elektriny v súlade so zákonom č. 251/2012 Z. z. o energetike v platnom znení (ďalej len „Zákon o energetike“). </w:t>
      </w:r>
    </w:p>
    <w:p w14:paraId="7CBAFF4C" w14:textId="77777777" w:rsidR="00A32438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</w:p>
    <w:p w14:paraId="2CE112E0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 xml:space="preserve">Verejný obstarávateľ ďalej požaduje: </w:t>
      </w:r>
    </w:p>
    <w:p w14:paraId="519DF66A" w14:textId="77777777" w:rsidR="00A32438" w:rsidRPr="003D0761" w:rsidRDefault="00A32438" w:rsidP="00A32438">
      <w:pPr>
        <w:widowControl w:val="0"/>
        <w:numPr>
          <w:ilvl w:val="0"/>
          <w:numId w:val="2"/>
        </w:numPr>
        <w:autoSpaceDE w:val="0"/>
        <w:autoSpaceDN w:val="0"/>
        <w:spacing w:before="0" w:after="0" w:line="276" w:lineRule="auto"/>
        <w:contextualSpacing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>dodržanie cien za distribučné a regulované poplatky stanovené Úradom na reguláciu sieťových odvetví Slovenskej republiky (ďalej aj „ÚRSO“)</w:t>
      </w:r>
    </w:p>
    <w:p w14:paraId="34030E96" w14:textId="77777777" w:rsidR="00A32438" w:rsidRPr="003D0761" w:rsidRDefault="00A32438" w:rsidP="00A32438">
      <w:pPr>
        <w:widowControl w:val="0"/>
        <w:numPr>
          <w:ilvl w:val="0"/>
          <w:numId w:val="2"/>
        </w:numPr>
        <w:autoSpaceDE w:val="0"/>
        <w:autoSpaceDN w:val="0"/>
        <w:spacing w:before="0" w:after="0" w:line="276" w:lineRule="auto"/>
        <w:contextualSpacing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>v dôsledku organizačných zmien na strane odberateľa môže dôjsť k zmene počtu uvedených odberných miest. V prípade pribudnutia nového odberného miesta počas zmluvného obdobia, na základe požiadavky odberateľa zabezpečenie plnenia za podmienok určených v Rámcovej dohode a „Zmluve o združenej dodávke elektriny, distribúcii elektriny a prevzatia zodpovednosti za odchýlku“ aj pre novovzniknuté odberné miesto. V prípade zrušenia nepotrebného odberného miesta, na základe požiadavky odberateľa ukončiť plnenie do tohto odberného miesta. Zmena počtu odberných miest bude riešená dodatkami k Rámcovej dohode a „Zmluve o združenej dodávke elektriny, distribúcii elektriny a prevzatia zodpovednosti za odchýlku“,</w:t>
      </w:r>
    </w:p>
    <w:p w14:paraId="74534E4E" w14:textId="77777777" w:rsidR="00A32438" w:rsidRPr="003D0761" w:rsidRDefault="00A32438" w:rsidP="00A32438">
      <w:pPr>
        <w:widowControl w:val="0"/>
        <w:numPr>
          <w:ilvl w:val="0"/>
          <w:numId w:val="2"/>
        </w:numPr>
        <w:autoSpaceDE w:val="0"/>
        <w:autoSpaceDN w:val="0"/>
        <w:spacing w:before="0" w:after="0" w:line="276" w:lineRule="auto"/>
        <w:contextualSpacing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>poskytnutie elektronického portálu (zobrazovanie odberných miest, história spotreby, zobrazovanie faktúr s možnosťou ich stiahnutia),</w:t>
      </w:r>
    </w:p>
    <w:p w14:paraId="3AF000EB" w14:textId="77777777" w:rsidR="00A32438" w:rsidRPr="003D0761" w:rsidRDefault="00A32438" w:rsidP="00A32438">
      <w:pPr>
        <w:widowControl w:val="0"/>
        <w:numPr>
          <w:ilvl w:val="0"/>
          <w:numId w:val="2"/>
        </w:numPr>
        <w:autoSpaceDE w:val="0"/>
        <w:autoSpaceDN w:val="0"/>
        <w:spacing w:before="0" w:after="0" w:line="276" w:lineRule="auto"/>
        <w:contextualSpacing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>elektronick</w:t>
      </w:r>
      <w:r>
        <w:rPr>
          <w:rFonts w:asciiTheme="minorHAnsi" w:hAnsiTheme="minorHAnsi" w:cstheme="minorHAnsi"/>
          <w:szCs w:val="20"/>
          <w:lang w:eastAsia="en-US"/>
        </w:rPr>
        <w:t>á</w:t>
      </w:r>
      <w:r w:rsidRPr="003D0761">
        <w:rPr>
          <w:rFonts w:asciiTheme="minorHAnsi" w:hAnsiTheme="minorHAnsi" w:cstheme="minorHAnsi"/>
          <w:szCs w:val="20"/>
          <w:lang w:eastAsia="en-US"/>
        </w:rPr>
        <w:t xml:space="preserve"> fakturáci</w:t>
      </w:r>
      <w:r>
        <w:rPr>
          <w:rFonts w:asciiTheme="minorHAnsi" w:hAnsiTheme="minorHAnsi" w:cstheme="minorHAnsi"/>
          <w:szCs w:val="20"/>
          <w:lang w:eastAsia="en-US"/>
        </w:rPr>
        <w:t>a</w:t>
      </w:r>
    </w:p>
    <w:p w14:paraId="24601782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</w:p>
    <w:p w14:paraId="15728B6E" w14:textId="7EA58DD6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 xml:space="preserve">Obdobie dodávky: </w:t>
      </w:r>
      <w:r w:rsidRPr="003D0761">
        <w:rPr>
          <w:rFonts w:asciiTheme="minorHAnsi" w:hAnsiTheme="minorHAnsi" w:cstheme="minorHAnsi"/>
          <w:szCs w:val="20"/>
          <w:lang w:eastAsia="en-US"/>
        </w:rPr>
        <w:tab/>
        <w:t>01.01.2025 – 31.12.2025</w:t>
      </w:r>
    </w:p>
    <w:p w14:paraId="665BAD16" w14:textId="77777777" w:rsidR="00A32438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</w:p>
    <w:p w14:paraId="660C12AF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>Predpokladaný odber:</w:t>
      </w:r>
      <w:r w:rsidRPr="003D0761">
        <w:rPr>
          <w:rFonts w:asciiTheme="minorHAnsi" w:hAnsiTheme="minorHAnsi" w:cstheme="minorHAnsi"/>
          <w:szCs w:val="20"/>
          <w:lang w:eastAsia="en-US"/>
        </w:rPr>
        <w:tab/>
      </w:r>
      <w:r w:rsidRPr="00220AEC">
        <w:rPr>
          <w:rFonts w:asciiTheme="minorHAnsi" w:hAnsiTheme="minorHAnsi" w:cstheme="minorHAnsi"/>
          <w:szCs w:val="20"/>
          <w:lang w:eastAsia="en-US"/>
        </w:rPr>
        <w:t>2 376,255</w:t>
      </w:r>
      <w:r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3D0761">
        <w:rPr>
          <w:rFonts w:asciiTheme="minorHAnsi" w:hAnsiTheme="minorHAnsi" w:cstheme="minorHAnsi"/>
          <w:szCs w:val="20"/>
          <w:lang w:eastAsia="en-US"/>
        </w:rPr>
        <w:t>MWh</w:t>
      </w:r>
    </w:p>
    <w:p w14:paraId="7835C0C7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</w:p>
    <w:p w14:paraId="41318023" w14:textId="0F18C84B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>Počet odberných miest spolu:</w:t>
      </w:r>
      <w:r w:rsidRPr="003D0761">
        <w:rPr>
          <w:rFonts w:asciiTheme="minorHAnsi" w:hAnsiTheme="minorHAnsi" w:cstheme="minorHAnsi"/>
          <w:szCs w:val="20"/>
          <w:lang w:eastAsia="en-US"/>
        </w:rPr>
        <w:tab/>
      </w:r>
      <w:r w:rsidRPr="003D0761">
        <w:rPr>
          <w:rFonts w:asciiTheme="minorHAnsi" w:hAnsiTheme="minorHAnsi" w:cstheme="minorHAnsi"/>
          <w:szCs w:val="20"/>
          <w:lang w:eastAsia="en-US"/>
        </w:rPr>
        <w:tab/>
      </w:r>
      <w:r w:rsidRPr="003D0761">
        <w:rPr>
          <w:rFonts w:asciiTheme="minorHAnsi" w:hAnsiTheme="minorHAnsi" w:cstheme="minorHAnsi"/>
          <w:szCs w:val="20"/>
          <w:lang w:eastAsia="en-US"/>
        </w:rPr>
        <w:tab/>
      </w:r>
      <w:r w:rsidRPr="003D0761">
        <w:rPr>
          <w:rFonts w:asciiTheme="minorHAnsi" w:hAnsiTheme="minorHAnsi" w:cstheme="minorHAnsi"/>
          <w:szCs w:val="20"/>
          <w:lang w:eastAsia="en-US"/>
        </w:rPr>
        <w:tab/>
      </w:r>
      <w:r w:rsidRPr="003D0761">
        <w:rPr>
          <w:rFonts w:asciiTheme="minorHAnsi" w:hAnsiTheme="minorHAnsi" w:cstheme="minorHAnsi"/>
          <w:szCs w:val="20"/>
          <w:lang w:eastAsia="en-US"/>
        </w:rPr>
        <w:tab/>
        <w:t>237</w:t>
      </w:r>
    </w:p>
    <w:p w14:paraId="230DA3A5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 xml:space="preserve">Počet odberných miest – verejné osvetlenie (sadzba C2 – X3): </w:t>
      </w:r>
      <w:r w:rsidRPr="003D0761">
        <w:rPr>
          <w:rFonts w:asciiTheme="minorHAnsi" w:hAnsiTheme="minorHAnsi" w:cstheme="minorHAnsi"/>
          <w:szCs w:val="20"/>
          <w:lang w:eastAsia="en-US"/>
        </w:rPr>
        <w:tab/>
        <w:t xml:space="preserve">  61</w:t>
      </w:r>
    </w:p>
    <w:p w14:paraId="5D4BBE1E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 xml:space="preserve">Počet odberných miest – budovy NN (sadzba C2 – X3): </w:t>
      </w:r>
      <w:r w:rsidRPr="003D0761">
        <w:rPr>
          <w:rFonts w:asciiTheme="minorHAnsi" w:hAnsiTheme="minorHAnsi" w:cstheme="minorHAnsi"/>
          <w:szCs w:val="20"/>
          <w:lang w:eastAsia="en-US"/>
        </w:rPr>
        <w:tab/>
      </w:r>
      <w:r w:rsidRPr="003D0761">
        <w:rPr>
          <w:rFonts w:asciiTheme="minorHAnsi" w:hAnsiTheme="minorHAnsi" w:cstheme="minorHAnsi"/>
          <w:szCs w:val="20"/>
          <w:lang w:eastAsia="en-US"/>
        </w:rPr>
        <w:tab/>
        <w:t>176</w:t>
      </w:r>
    </w:p>
    <w:p w14:paraId="3DC9622F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</w:p>
    <w:p w14:paraId="71C88461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>Tabuľka 1 – Zoznam Odberateľov, Typ merania, Predpokladaný odber</w:t>
      </w:r>
    </w:p>
    <w:tbl>
      <w:tblPr>
        <w:tblStyle w:val="Mriekatabuky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2409"/>
      </w:tblGrid>
      <w:tr w:rsidR="00A32438" w:rsidRPr="003D0761" w14:paraId="46AEB003" w14:textId="77777777" w:rsidTr="00D21DB3">
        <w:trPr>
          <w:jc w:val="center"/>
        </w:trPr>
        <w:tc>
          <w:tcPr>
            <w:tcW w:w="1413" w:type="dxa"/>
            <w:vAlign w:val="center"/>
          </w:tcPr>
          <w:p w14:paraId="348B7F3D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3D0761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Typ merania</w:t>
            </w:r>
          </w:p>
        </w:tc>
        <w:tc>
          <w:tcPr>
            <w:tcW w:w="2268" w:type="dxa"/>
            <w:vAlign w:val="center"/>
          </w:tcPr>
          <w:p w14:paraId="669D26B1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3D0761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Počet odberných miest</w:t>
            </w:r>
          </w:p>
        </w:tc>
        <w:tc>
          <w:tcPr>
            <w:tcW w:w="2410" w:type="dxa"/>
            <w:vAlign w:val="center"/>
          </w:tcPr>
          <w:p w14:paraId="35E244D8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3D0761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Predpokladaný odber (MWh)</w:t>
            </w:r>
          </w:p>
        </w:tc>
        <w:tc>
          <w:tcPr>
            <w:tcW w:w="2409" w:type="dxa"/>
            <w:vAlign w:val="center"/>
          </w:tcPr>
          <w:p w14:paraId="4477E590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3D0761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% z celkového odberu Odberateľa</w:t>
            </w:r>
          </w:p>
        </w:tc>
      </w:tr>
      <w:tr w:rsidR="00A32438" w:rsidRPr="003D0761" w14:paraId="3F48BE0F" w14:textId="77777777" w:rsidTr="00D21DB3">
        <w:trPr>
          <w:jc w:val="center"/>
        </w:trPr>
        <w:tc>
          <w:tcPr>
            <w:tcW w:w="1413" w:type="dxa"/>
          </w:tcPr>
          <w:p w14:paraId="36A32FBE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3D0761">
              <w:rPr>
                <w:rFonts w:asciiTheme="minorHAnsi" w:hAnsiTheme="minorHAnsi" w:cstheme="minorHAnsi"/>
                <w:szCs w:val="20"/>
                <w:lang w:eastAsia="en-US"/>
              </w:rPr>
              <w:t>A</w:t>
            </w:r>
          </w:p>
        </w:tc>
        <w:tc>
          <w:tcPr>
            <w:tcW w:w="2268" w:type="dxa"/>
          </w:tcPr>
          <w:p w14:paraId="2D6B5EE5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110</w:t>
            </w:r>
          </w:p>
        </w:tc>
        <w:tc>
          <w:tcPr>
            <w:tcW w:w="2410" w:type="dxa"/>
          </w:tcPr>
          <w:p w14:paraId="0B244CFD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220AEC">
              <w:rPr>
                <w:rFonts w:asciiTheme="minorHAnsi" w:hAnsiTheme="minorHAnsi" w:cstheme="minorHAnsi"/>
                <w:szCs w:val="20"/>
                <w:lang w:eastAsia="en-US"/>
              </w:rPr>
              <w:t>2 254,724</w:t>
            </w:r>
          </w:p>
        </w:tc>
        <w:tc>
          <w:tcPr>
            <w:tcW w:w="2409" w:type="dxa"/>
          </w:tcPr>
          <w:p w14:paraId="0AAA3891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94,89</w:t>
            </w:r>
          </w:p>
        </w:tc>
      </w:tr>
      <w:tr w:rsidR="00A32438" w:rsidRPr="003D0761" w14:paraId="6F9DD136" w14:textId="77777777" w:rsidTr="00D21DB3">
        <w:trPr>
          <w:jc w:val="center"/>
        </w:trPr>
        <w:tc>
          <w:tcPr>
            <w:tcW w:w="1413" w:type="dxa"/>
          </w:tcPr>
          <w:p w14:paraId="64B025CE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3D0761">
              <w:rPr>
                <w:rFonts w:asciiTheme="minorHAnsi" w:hAnsiTheme="minorHAnsi" w:cstheme="minorHAnsi"/>
                <w:szCs w:val="20"/>
                <w:lang w:eastAsia="en-US"/>
              </w:rPr>
              <w:t>C</w:t>
            </w:r>
          </w:p>
        </w:tc>
        <w:tc>
          <w:tcPr>
            <w:tcW w:w="2268" w:type="dxa"/>
          </w:tcPr>
          <w:p w14:paraId="54A7404D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127</w:t>
            </w:r>
          </w:p>
        </w:tc>
        <w:tc>
          <w:tcPr>
            <w:tcW w:w="2410" w:type="dxa"/>
          </w:tcPr>
          <w:p w14:paraId="2F5ABC77" w14:textId="1DAAAB80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220AEC">
              <w:rPr>
                <w:rFonts w:asciiTheme="minorHAnsi" w:hAnsiTheme="minorHAnsi" w:cstheme="minorHAnsi"/>
                <w:szCs w:val="20"/>
                <w:lang w:eastAsia="en-US"/>
              </w:rPr>
              <w:t>121,531</w:t>
            </w:r>
          </w:p>
        </w:tc>
        <w:tc>
          <w:tcPr>
            <w:tcW w:w="2409" w:type="dxa"/>
          </w:tcPr>
          <w:p w14:paraId="46FCE9B0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5,11</w:t>
            </w:r>
          </w:p>
        </w:tc>
      </w:tr>
      <w:tr w:rsidR="00A32438" w:rsidRPr="003D0761" w14:paraId="675E5972" w14:textId="77777777" w:rsidTr="00D21DB3">
        <w:trPr>
          <w:jc w:val="center"/>
        </w:trPr>
        <w:tc>
          <w:tcPr>
            <w:tcW w:w="1413" w:type="dxa"/>
          </w:tcPr>
          <w:p w14:paraId="14700160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3D0761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Spolu</w:t>
            </w:r>
          </w:p>
        </w:tc>
        <w:tc>
          <w:tcPr>
            <w:tcW w:w="2268" w:type="dxa"/>
          </w:tcPr>
          <w:p w14:paraId="27F183FD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237</w:t>
            </w:r>
          </w:p>
        </w:tc>
        <w:tc>
          <w:tcPr>
            <w:tcW w:w="2410" w:type="dxa"/>
          </w:tcPr>
          <w:p w14:paraId="776138A7" w14:textId="16712EB0" w:rsidR="00A32438" w:rsidRPr="00220AEC" w:rsidRDefault="00A32438" w:rsidP="00A32438">
            <w:pPr>
              <w:widowControl w:val="0"/>
              <w:tabs>
                <w:tab w:val="left" w:pos="864"/>
                <w:tab w:val="center" w:pos="1097"/>
              </w:tabs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220AEC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2 376,255</w:t>
            </w:r>
          </w:p>
        </w:tc>
        <w:tc>
          <w:tcPr>
            <w:tcW w:w="2409" w:type="dxa"/>
          </w:tcPr>
          <w:p w14:paraId="67C76443" w14:textId="77777777" w:rsidR="00A32438" w:rsidRPr="003D0761" w:rsidRDefault="00A32438" w:rsidP="00A32438">
            <w:pPr>
              <w:widowControl w:val="0"/>
              <w:autoSpaceDE w:val="0"/>
              <w:autoSpaceDN w:val="0"/>
              <w:spacing w:before="0" w:after="0" w:line="276" w:lineRule="auto"/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3D0761">
              <w:rPr>
                <w:rFonts w:asciiTheme="minorHAnsi" w:hAnsiTheme="minorHAnsi" w:cstheme="minorHAnsi"/>
                <w:szCs w:val="20"/>
                <w:lang w:eastAsia="en-US"/>
              </w:rPr>
              <w:t>100</w:t>
            </w:r>
          </w:p>
        </w:tc>
      </w:tr>
    </w:tbl>
    <w:p w14:paraId="299A54F7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</w:p>
    <w:p w14:paraId="20BA4673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  <w:r w:rsidRPr="003D0761">
        <w:rPr>
          <w:rFonts w:asciiTheme="minorHAnsi" w:hAnsiTheme="minorHAnsi" w:cstheme="minorHAnsi"/>
          <w:szCs w:val="20"/>
          <w:lang w:eastAsia="en-US"/>
        </w:rPr>
        <w:t>Vysvetlivky:</w:t>
      </w:r>
    </w:p>
    <w:p w14:paraId="252D5E87" w14:textId="77777777" w:rsidR="00A32438" w:rsidRPr="003D0761" w:rsidRDefault="00A32438" w:rsidP="00A32438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 xml:space="preserve">Meranie typu A - </w:t>
      </w:r>
      <w:proofErr w:type="spellStart"/>
      <w:r w:rsidRPr="003D0761">
        <w:rPr>
          <w:rFonts w:asciiTheme="minorHAnsi" w:hAnsiTheme="minorHAnsi" w:cstheme="minorHAnsi"/>
          <w:szCs w:val="20"/>
          <w:lang w:eastAsia="sk-SK"/>
        </w:rPr>
        <w:t>priebehové</w:t>
      </w:r>
      <w:proofErr w:type="spellEnd"/>
      <w:r w:rsidRPr="003D0761">
        <w:rPr>
          <w:rFonts w:asciiTheme="minorHAnsi" w:hAnsiTheme="minorHAnsi" w:cstheme="minorHAnsi"/>
          <w:szCs w:val="20"/>
          <w:lang w:eastAsia="sk-SK"/>
        </w:rPr>
        <w:t xml:space="preserve"> meranie s možnosťou diaľkového odpočtu, </w:t>
      </w:r>
    </w:p>
    <w:p w14:paraId="58903616" w14:textId="77777777" w:rsidR="00A32438" w:rsidRPr="003D0761" w:rsidRDefault="00A32438" w:rsidP="00A32438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 xml:space="preserve">Meranie typu B - </w:t>
      </w:r>
      <w:proofErr w:type="spellStart"/>
      <w:r w:rsidRPr="003D0761">
        <w:rPr>
          <w:rFonts w:asciiTheme="minorHAnsi" w:hAnsiTheme="minorHAnsi" w:cstheme="minorHAnsi"/>
          <w:szCs w:val="20"/>
          <w:lang w:eastAsia="sk-SK"/>
        </w:rPr>
        <w:t>priebehové</w:t>
      </w:r>
      <w:proofErr w:type="spellEnd"/>
      <w:r w:rsidRPr="003D0761">
        <w:rPr>
          <w:rFonts w:asciiTheme="minorHAnsi" w:hAnsiTheme="minorHAnsi" w:cstheme="minorHAnsi"/>
          <w:szCs w:val="20"/>
          <w:lang w:eastAsia="sk-SK"/>
        </w:rPr>
        <w:t xml:space="preserve"> meranie bez možnosti diaľkového odpočtu, </w:t>
      </w:r>
    </w:p>
    <w:p w14:paraId="2F77CA0D" w14:textId="77777777" w:rsidR="00A32438" w:rsidRPr="003D0761" w:rsidRDefault="00A32438" w:rsidP="00A32438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 xml:space="preserve">Meranie typu C - meranie bez </w:t>
      </w:r>
      <w:proofErr w:type="spellStart"/>
      <w:r w:rsidRPr="003D0761">
        <w:rPr>
          <w:rFonts w:asciiTheme="minorHAnsi" w:hAnsiTheme="minorHAnsi" w:cstheme="minorHAnsi"/>
          <w:szCs w:val="20"/>
          <w:lang w:eastAsia="sk-SK"/>
        </w:rPr>
        <w:t>priebehového</w:t>
      </w:r>
      <w:proofErr w:type="spellEnd"/>
      <w:r w:rsidRPr="003D0761">
        <w:rPr>
          <w:rFonts w:asciiTheme="minorHAnsi" w:hAnsiTheme="minorHAnsi" w:cstheme="minorHAnsi"/>
          <w:szCs w:val="20"/>
          <w:lang w:eastAsia="sk-SK"/>
        </w:rPr>
        <w:t xml:space="preserve"> merania a bez možnosti diaľkového odpočtu. </w:t>
      </w:r>
    </w:p>
    <w:p w14:paraId="0C30E50A" w14:textId="4A29DC7D" w:rsidR="006A4FEF" w:rsidRDefault="006A4FEF" w:rsidP="00A32438">
      <w:pPr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>
        <w:rPr>
          <w:rFonts w:asciiTheme="minorHAnsi" w:hAnsiTheme="minorHAnsi" w:cstheme="minorHAnsi"/>
          <w:szCs w:val="20"/>
          <w:lang w:eastAsia="sk-SK"/>
        </w:rPr>
        <w:br w:type="page"/>
      </w:r>
    </w:p>
    <w:p w14:paraId="42FC9721" w14:textId="77777777" w:rsidR="00A32438" w:rsidRPr="003D0761" w:rsidRDefault="00A32438" w:rsidP="00A32438">
      <w:pPr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</w:p>
    <w:p w14:paraId="4ACF7797" w14:textId="77777777" w:rsidR="00A32438" w:rsidRDefault="00A32438" w:rsidP="00A32438">
      <w:pPr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>Verejný obstarávateľ má vo svojej správe odberné miest</w:t>
      </w:r>
      <w:r>
        <w:rPr>
          <w:rFonts w:asciiTheme="minorHAnsi" w:hAnsiTheme="minorHAnsi" w:cstheme="minorHAnsi"/>
          <w:szCs w:val="20"/>
          <w:lang w:eastAsia="sk-SK"/>
        </w:rPr>
        <w:t>a</w:t>
      </w:r>
      <w:r w:rsidRPr="003D0761">
        <w:rPr>
          <w:rFonts w:asciiTheme="minorHAnsi" w:hAnsiTheme="minorHAnsi" w:cstheme="minorHAnsi"/>
          <w:szCs w:val="20"/>
          <w:lang w:eastAsia="sk-SK"/>
        </w:rPr>
        <w:t xml:space="preserve"> s </w:t>
      </w:r>
      <w:r>
        <w:rPr>
          <w:rFonts w:asciiTheme="minorHAnsi" w:hAnsiTheme="minorHAnsi" w:cstheme="minorHAnsi"/>
          <w:szCs w:val="20"/>
          <w:lang w:eastAsia="sk-SK"/>
        </w:rPr>
        <w:t>nízko</w:t>
      </w:r>
      <w:r w:rsidRPr="003D0761">
        <w:rPr>
          <w:rFonts w:asciiTheme="minorHAnsi" w:hAnsiTheme="minorHAnsi" w:cstheme="minorHAnsi"/>
          <w:szCs w:val="20"/>
          <w:lang w:eastAsia="sk-SK"/>
        </w:rPr>
        <w:t>napäťovým pripojením (</w:t>
      </w:r>
      <w:r>
        <w:rPr>
          <w:rFonts w:asciiTheme="minorHAnsi" w:hAnsiTheme="minorHAnsi" w:cstheme="minorHAnsi"/>
          <w:szCs w:val="20"/>
          <w:lang w:eastAsia="sk-SK"/>
        </w:rPr>
        <w:t>N</w:t>
      </w:r>
      <w:r w:rsidRPr="003D0761">
        <w:rPr>
          <w:rFonts w:asciiTheme="minorHAnsi" w:hAnsiTheme="minorHAnsi" w:cstheme="minorHAnsi"/>
          <w:szCs w:val="20"/>
          <w:lang w:eastAsia="sk-SK"/>
        </w:rPr>
        <w:t xml:space="preserve">N) s odberom v </w:t>
      </w:r>
      <w:r>
        <w:rPr>
          <w:rFonts w:asciiTheme="minorHAnsi" w:hAnsiTheme="minorHAnsi" w:cstheme="minorHAnsi"/>
          <w:szCs w:val="20"/>
          <w:lang w:eastAsia="sk-SK"/>
        </w:rPr>
        <w:t xml:space="preserve">jednotnej tarife (1T), </w:t>
      </w:r>
      <w:r w:rsidRPr="003D0761">
        <w:rPr>
          <w:rFonts w:asciiTheme="minorHAnsi" w:hAnsiTheme="minorHAnsi" w:cstheme="minorHAnsi"/>
          <w:szCs w:val="20"/>
          <w:lang w:eastAsia="sk-SK"/>
        </w:rPr>
        <w:t>vysokej tarife (VT) a nízkej tarife (NT) s predpokladaným odberom na obdobie 12 mesiacov, ktorý vychádza z odobratého množstva za rok 2023.</w:t>
      </w:r>
      <w:r>
        <w:rPr>
          <w:rFonts w:asciiTheme="minorHAnsi" w:hAnsiTheme="minorHAnsi" w:cstheme="minorHAnsi"/>
          <w:szCs w:val="20"/>
          <w:lang w:eastAsia="sk-SK"/>
        </w:rPr>
        <w:t xml:space="preserve"> S</w:t>
      </w:r>
      <w:r w:rsidRPr="003D0761">
        <w:rPr>
          <w:rFonts w:asciiTheme="minorHAnsi" w:hAnsiTheme="minorHAnsi" w:cstheme="minorHAnsi"/>
          <w:szCs w:val="20"/>
          <w:lang w:eastAsia="sk-SK"/>
        </w:rPr>
        <w:t>kutočne odobraté množstvo elektrickej energie sa môže v konečnom dôsledku líšiť.</w:t>
      </w:r>
    </w:p>
    <w:p w14:paraId="45CEC5EB" w14:textId="77777777" w:rsidR="00A32438" w:rsidRPr="003D0761" w:rsidRDefault="00A32438" w:rsidP="00A32438">
      <w:pPr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</w:p>
    <w:p w14:paraId="6BFA5E6E" w14:textId="77777777" w:rsidR="00A32438" w:rsidRPr="003D0761" w:rsidRDefault="00A32438" w:rsidP="00A32438">
      <w:pPr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>Podrobný zoznam odberných miest je uvedený v prílohe č. 1. - Zoznam odberných miest. Zoznam obsahuje nasledovné údaje: </w:t>
      </w:r>
    </w:p>
    <w:p w14:paraId="7F0584DD" w14:textId="77777777" w:rsidR="00A32438" w:rsidRPr="003D0761" w:rsidRDefault="00A32438" w:rsidP="00A32438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>EIC, </w:t>
      </w:r>
    </w:p>
    <w:p w14:paraId="11C70980" w14:textId="77777777" w:rsidR="00A32438" w:rsidRPr="003D0761" w:rsidRDefault="00A32438" w:rsidP="00A32438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>adresu odberného miesta, </w:t>
      </w:r>
    </w:p>
    <w:p w14:paraId="1BC426AE" w14:textId="77777777" w:rsidR="00A32438" w:rsidRPr="003D0761" w:rsidRDefault="00A32438" w:rsidP="00A32438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>predpokladaný odber (MWh), </w:t>
      </w:r>
    </w:p>
    <w:p w14:paraId="4F0C9702" w14:textId="77777777" w:rsidR="00A32438" w:rsidRPr="003D0761" w:rsidRDefault="00A32438" w:rsidP="00A32438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>hodnotu ističa (A)/rezervovanú kapacitu (kW), </w:t>
      </w:r>
    </w:p>
    <w:p w14:paraId="310A119A" w14:textId="77777777" w:rsidR="00A32438" w:rsidRPr="003D0761" w:rsidRDefault="00A32438" w:rsidP="00A32438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>počet fáz, </w:t>
      </w:r>
    </w:p>
    <w:p w14:paraId="6A520DAB" w14:textId="77777777" w:rsidR="00A32438" w:rsidRPr="003D0761" w:rsidRDefault="00A32438" w:rsidP="00A32438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textAlignment w:val="baseline"/>
        <w:rPr>
          <w:rFonts w:asciiTheme="minorHAnsi" w:hAnsiTheme="minorHAnsi" w:cstheme="minorHAnsi"/>
          <w:szCs w:val="20"/>
          <w:lang w:eastAsia="sk-SK"/>
        </w:rPr>
      </w:pPr>
      <w:r w:rsidRPr="003D0761">
        <w:rPr>
          <w:rFonts w:asciiTheme="minorHAnsi" w:hAnsiTheme="minorHAnsi" w:cstheme="minorHAnsi"/>
          <w:szCs w:val="20"/>
          <w:lang w:eastAsia="sk-SK"/>
        </w:rPr>
        <w:t>typ merania (A, B, C), </w:t>
      </w:r>
    </w:p>
    <w:p w14:paraId="68E35952" w14:textId="77777777" w:rsidR="00A32438" w:rsidRPr="003D0761" w:rsidRDefault="00A32438" w:rsidP="00A32438">
      <w:pPr>
        <w:widowControl w:val="0"/>
        <w:autoSpaceDE w:val="0"/>
        <w:autoSpaceDN w:val="0"/>
        <w:spacing w:before="0" w:after="0" w:line="276" w:lineRule="auto"/>
        <w:rPr>
          <w:rFonts w:asciiTheme="minorHAnsi" w:hAnsiTheme="minorHAnsi" w:cstheme="minorHAnsi"/>
          <w:szCs w:val="20"/>
          <w:lang w:eastAsia="en-US"/>
        </w:rPr>
      </w:pPr>
    </w:p>
    <w:bookmarkEnd w:id="2"/>
    <w:p w14:paraId="2F884B12" w14:textId="77777777" w:rsidR="009E0D65" w:rsidRDefault="009E0D65" w:rsidP="00A32438">
      <w:pPr>
        <w:spacing w:before="0" w:after="0" w:line="276" w:lineRule="auto"/>
      </w:pPr>
    </w:p>
    <w:sectPr w:rsidR="009E0D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77D4E" w14:textId="77777777" w:rsidR="00262AAD" w:rsidRDefault="00262AAD" w:rsidP="00A32438">
      <w:pPr>
        <w:spacing w:before="0" w:after="0"/>
      </w:pPr>
      <w:r>
        <w:separator/>
      </w:r>
    </w:p>
  </w:endnote>
  <w:endnote w:type="continuationSeparator" w:id="0">
    <w:p w14:paraId="3C106E78" w14:textId="77777777" w:rsidR="00262AAD" w:rsidRDefault="00262AAD" w:rsidP="00A324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7232268"/>
      <w:docPartObj>
        <w:docPartGallery w:val="Page Numbers (Bottom of Page)"/>
        <w:docPartUnique/>
      </w:docPartObj>
    </w:sdtPr>
    <w:sdtContent>
      <w:p w14:paraId="744145CF" w14:textId="4225CACB" w:rsidR="00A32438" w:rsidRDefault="00A324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927F7" w14:textId="77777777" w:rsidR="00A32438" w:rsidRDefault="00A324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5CBF7" w14:textId="77777777" w:rsidR="00262AAD" w:rsidRDefault="00262AAD" w:rsidP="00A32438">
      <w:pPr>
        <w:spacing w:before="0" w:after="0"/>
      </w:pPr>
      <w:r>
        <w:separator/>
      </w:r>
    </w:p>
  </w:footnote>
  <w:footnote w:type="continuationSeparator" w:id="0">
    <w:p w14:paraId="1F74B2B0" w14:textId="77777777" w:rsidR="00262AAD" w:rsidRDefault="00262AAD" w:rsidP="00A324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0CBF4" w14:textId="77777777" w:rsidR="006A4FEF" w:rsidRPr="007E4D41" w:rsidRDefault="006A4FEF" w:rsidP="006A4FEF">
    <w:pPr>
      <w:pStyle w:val="Nzov"/>
      <w:spacing w:after="0"/>
      <w:rPr>
        <w:rFonts w:asciiTheme="minorHAnsi" w:hAnsiTheme="minorHAnsi" w:cstheme="minorHAnsi"/>
        <w:sz w:val="44"/>
        <w:szCs w:val="44"/>
      </w:rPr>
    </w:pPr>
    <w:r>
      <w:rPr>
        <w:noProof/>
      </w:rPr>
      <w:drawing>
        <wp:inline distT="0" distB="0" distL="0" distR="0" wp14:anchorId="72C9E0B2" wp14:editId="45BE06F2">
          <wp:extent cx="790764" cy="922020"/>
          <wp:effectExtent l="0" t="0" r="9525" b="0"/>
          <wp:docPr id="999962919" name="Obrázok 999962919" descr="VÃ½sledok vyhÄ¾adÃ¡vania obrÃ¡zkov pre dopyt mesto pezinok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Ã½sledok vyhÄ¾adÃ¡vania obrÃ¡zkov pre dopyt mesto pezinok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66" cy="931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68"/>
      </w:rPr>
      <w:t xml:space="preserve">  </w:t>
    </w:r>
    <w:r>
      <w:rPr>
        <w:sz w:val="68"/>
      </w:rPr>
      <w:tab/>
    </w:r>
    <w:r w:rsidRPr="007E4D41">
      <w:rPr>
        <w:rFonts w:asciiTheme="minorHAnsi" w:hAnsiTheme="minorHAnsi" w:cstheme="minorHAnsi"/>
        <w:sz w:val="68"/>
      </w:rPr>
      <w:t xml:space="preserve">        </w:t>
    </w:r>
    <w:r w:rsidRPr="007E4D41">
      <w:rPr>
        <w:rFonts w:asciiTheme="minorHAnsi" w:hAnsiTheme="minorHAnsi" w:cstheme="minorHAnsi"/>
        <w:sz w:val="44"/>
        <w:szCs w:val="44"/>
      </w:rPr>
      <w:t>Mesto PEZINOK</w:t>
    </w:r>
  </w:p>
  <w:p w14:paraId="29367B1B" w14:textId="09B86F95" w:rsidR="006A4FEF" w:rsidRPr="006A4FEF" w:rsidRDefault="006A4FEF" w:rsidP="006A4FEF">
    <w:pPr>
      <w:spacing w:before="0" w:after="0"/>
      <w:jc w:val="center"/>
      <w:rPr>
        <w:rFonts w:asciiTheme="minorHAnsi" w:hAnsiTheme="minorHAnsi" w:cstheme="minorHAnsi"/>
        <w:bCs/>
        <w:sz w:val="28"/>
        <w:szCs w:val="28"/>
      </w:rPr>
    </w:pPr>
    <w:r w:rsidRPr="007E4D41">
      <w:rPr>
        <w:rFonts w:asciiTheme="minorHAnsi" w:hAnsiTheme="minorHAnsi" w:cstheme="minorHAns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1D5C8A" wp14:editId="4F73DFD1">
              <wp:simplePos x="0" y="0"/>
              <wp:positionH relativeFrom="column">
                <wp:posOffset>-171450</wp:posOffset>
              </wp:positionH>
              <wp:positionV relativeFrom="paragraph">
                <wp:posOffset>212725</wp:posOffset>
              </wp:positionV>
              <wp:extent cx="6309360" cy="0"/>
              <wp:effectExtent l="0" t="0" r="0" b="0"/>
              <wp:wrapNone/>
              <wp:docPr id="162992761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B462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6.75pt" to="48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" o:allowincell="f" strokeweight="1.5pt"/>
          </w:pict>
        </mc:Fallback>
      </mc:AlternateContent>
    </w:r>
    <w:r w:rsidRPr="007E4D41">
      <w:rPr>
        <w:rFonts w:asciiTheme="minorHAnsi" w:hAnsiTheme="minorHAnsi" w:cstheme="minorHAnsi"/>
        <w:b/>
        <w:sz w:val="28"/>
        <w:szCs w:val="28"/>
      </w:rPr>
      <w:t xml:space="preserve">   </w:t>
    </w:r>
    <w:r w:rsidRPr="007E4D41">
      <w:rPr>
        <w:rFonts w:asciiTheme="minorHAnsi" w:hAnsiTheme="minorHAnsi" w:cstheme="minorHAnsi"/>
        <w:sz w:val="28"/>
        <w:szCs w:val="28"/>
      </w:rPr>
      <w:t>Radničné námestie 44/7,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A3E35"/>
    <w:multiLevelType w:val="hybridMultilevel"/>
    <w:tmpl w:val="B444357E"/>
    <w:lvl w:ilvl="0" w:tplc="920092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F4151"/>
    <w:multiLevelType w:val="hybridMultilevel"/>
    <w:tmpl w:val="F260D098"/>
    <w:lvl w:ilvl="0" w:tplc="624C6C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88853">
    <w:abstractNumId w:val="0"/>
  </w:num>
  <w:num w:numId="2" w16cid:durableId="47876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38"/>
    <w:rsid w:val="00262AAD"/>
    <w:rsid w:val="006A4FEF"/>
    <w:rsid w:val="009E0D65"/>
    <w:rsid w:val="00A30F62"/>
    <w:rsid w:val="00A32438"/>
    <w:rsid w:val="00B8589C"/>
    <w:rsid w:val="00BE717E"/>
    <w:rsid w:val="00F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C8C0"/>
  <w15:chartTrackingRefBased/>
  <w15:docId w15:val="{CED46365-F01B-4545-8E62-AD9DB0C4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2438"/>
    <w:pPr>
      <w:spacing w:before="120" w:after="120" w:line="240" w:lineRule="auto"/>
      <w:jc w:val="both"/>
    </w:pPr>
    <w:rPr>
      <w:rFonts w:ascii="Calibri" w:eastAsia="Times New Roman" w:hAnsi="Calibri" w:cs="Times New Roman"/>
      <w:kern w:val="0"/>
      <w:sz w:val="20"/>
      <w:szCs w:val="24"/>
      <w:lang w:eastAsia="en-GB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2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32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2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2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2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2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2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2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24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A32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A3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3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243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324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243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243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32438"/>
    <w:rPr>
      <w:b/>
      <w:bCs/>
      <w:smallCaps/>
      <w:color w:val="0F4761" w:themeColor="accent1" w:themeShade="BF"/>
      <w:spacing w:val="5"/>
    </w:rPr>
  </w:style>
  <w:style w:type="paragraph" w:customStyle="1" w:styleId="A1Heading">
    <w:name w:val="A1 Heading"/>
    <w:basedOn w:val="Nadpis1"/>
    <w:next w:val="A1AHeading"/>
    <w:autoRedefine/>
    <w:qFormat/>
    <w:rsid w:val="00A32438"/>
    <w:pPr>
      <w:keepNext w:val="0"/>
      <w:keepLines w:val="0"/>
      <w:tabs>
        <w:tab w:val="num" w:pos="360"/>
      </w:tabs>
      <w:spacing w:before="240" w:after="240"/>
      <w:ind w:left="576" w:hanging="576"/>
    </w:pPr>
    <w:rPr>
      <w:rFonts w:ascii="Calibri" w:eastAsia="Times New Roman" w:hAnsi="Calibri" w:cs="Calibri (Body)"/>
      <w:b/>
      <w:caps/>
      <w:noProof/>
      <w:color w:val="auto"/>
      <w:sz w:val="20"/>
      <w:szCs w:val="24"/>
    </w:rPr>
  </w:style>
  <w:style w:type="paragraph" w:customStyle="1" w:styleId="A1AHeading">
    <w:name w:val="A.1A Heading"/>
    <w:basedOn w:val="Nadpis2"/>
    <w:autoRedefine/>
    <w:qFormat/>
    <w:rsid w:val="00A32438"/>
    <w:pPr>
      <w:keepLines w:val="0"/>
      <w:tabs>
        <w:tab w:val="num" w:pos="360"/>
      </w:tabs>
      <w:spacing w:before="480" w:after="240"/>
    </w:pPr>
    <w:rPr>
      <w:rFonts w:ascii="Calibri" w:eastAsia="Times New Roman" w:hAnsi="Calibri" w:cs="Calibri (Body)"/>
      <w:b/>
      <w:bCs/>
      <w:caps/>
      <w:noProof/>
      <w:color w:val="auto"/>
      <w:sz w:val="20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A3243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3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32438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A32438"/>
    <w:rPr>
      <w:rFonts w:ascii="Calibri" w:eastAsia="Times New Roman" w:hAnsi="Calibri" w:cs="Times New Roman"/>
      <w:kern w:val="0"/>
      <w:sz w:val="20"/>
      <w:szCs w:val="24"/>
      <w:lang w:eastAsia="en-GB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32438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A32438"/>
    <w:rPr>
      <w:rFonts w:ascii="Calibri" w:eastAsia="Times New Roman" w:hAnsi="Calibri" w:cs="Times New Roman"/>
      <w:kern w:val="0"/>
      <w:sz w:val="2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2</cp:revision>
  <dcterms:created xsi:type="dcterms:W3CDTF">2024-08-22T08:40:00Z</dcterms:created>
  <dcterms:modified xsi:type="dcterms:W3CDTF">2024-08-22T08:43:00Z</dcterms:modified>
</cp:coreProperties>
</file>