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67161" w14:textId="21F5CD36" w:rsidR="00030839" w:rsidRDefault="00030839" w:rsidP="1B8ECB4E">
      <w:pPr>
        <w:rPr>
          <w:rFonts w:cs="Calibri"/>
          <w:lang w:val="sk-SK"/>
        </w:rPr>
      </w:pPr>
      <w:bookmarkStart w:id="0" w:name="OLE_LINK1"/>
      <w:r w:rsidRPr="1B8ECB4E">
        <w:rPr>
          <w:rFonts w:cs="Calibri"/>
          <w:b/>
          <w:bCs/>
          <w:lang w:val="sk-SK"/>
        </w:rPr>
        <w:t>Príloha č. 5 Súťažných podkladov</w:t>
      </w:r>
    </w:p>
    <w:p w14:paraId="310302F4" w14:textId="7F025792" w:rsidR="006E2755" w:rsidRPr="00D5483B" w:rsidRDefault="006E2755" w:rsidP="006E2755">
      <w:pPr>
        <w:rPr>
          <w:rFonts w:ascii="Calibri" w:hAnsi="Calibri" w:cs="Calibri"/>
          <w:b/>
          <w:bCs/>
          <w:szCs w:val="20"/>
          <w:lang w:val="sk-SK"/>
        </w:rPr>
      </w:pPr>
      <w:r w:rsidRPr="00D5483B">
        <w:rPr>
          <w:rFonts w:cs="Calibri"/>
          <w:b/>
          <w:bCs/>
          <w:szCs w:val="20"/>
          <w:lang w:val="sk-SK"/>
        </w:rPr>
        <w:t>Príloha č. 4</w:t>
      </w:r>
      <w:r w:rsidRPr="00D5483B">
        <w:rPr>
          <w:rFonts w:ascii="Calibri" w:hAnsi="Calibri" w:cs="Calibri"/>
          <w:b/>
          <w:bCs/>
          <w:szCs w:val="20"/>
          <w:lang w:val="sk-SK"/>
        </w:rPr>
        <w:t xml:space="preserve"> </w:t>
      </w:r>
      <w:r w:rsidR="006D33B1">
        <w:rPr>
          <w:rFonts w:ascii="Calibri" w:hAnsi="Calibri" w:cs="Calibri"/>
          <w:b/>
          <w:bCs/>
          <w:szCs w:val="20"/>
          <w:lang w:val="sk-SK"/>
        </w:rPr>
        <w:t xml:space="preserve">Rámcovej dohody </w:t>
      </w:r>
      <w:r w:rsidR="00030839">
        <w:rPr>
          <w:rFonts w:ascii="Calibri" w:hAnsi="Calibri" w:cs="Calibri"/>
          <w:b/>
          <w:bCs/>
          <w:szCs w:val="20"/>
          <w:lang w:val="sk-SK"/>
        </w:rPr>
        <w:t xml:space="preserve">o dodávke elektrickej energie </w:t>
      </w:r>
      <w:r w:rsidRPr="00D5483B">
        <w:rPr>
          <w:rFonts w:ascii="Calibri" w:hAnsi="Calibri" w:cs="Calibri"/>
          <w:szCs w:val="20"/>
          <w:lang w:val="sk-SK"/>
        </w:rPr>
        <w:t xml:space="preserve">– </w:t>
      </w:r>
      <w:r w:rsidR="00561C99">
        <w:rPr>
          <w:rFonts w:ascii="Calibri" w:hAnsi="Calibri" w:cs="Calibri"/>
          <w:szCs w:val="20"/>
          <w:lang w:val="sk-SK"/>
        </w:rPr>
        <w:t xml:space="preserve">Zmluva </w:t>
      </w:r>
      <w:r w:rsidRPr="00D5483B">
        <w:rPr>
          <w:rFonts w:ascii="Calibri" w:hAnsi="Calibri" w:cs="Calibri"/>
          <w:szCs w:val="20"/>
          <w:lang w:val="sk-SK"/>
        </w:rPr>
        <w:t xml:space="preserve"> o</w:t>
      </w:r>
      <w:r w:rsidR="00561C99">
        <w:rPr>
          <w:rFonts w:ascii="Calibri" w:hAnsi="Calibri" w:cs="Calibri"/>
          <w:szCs w:val="20"/>
          <w:lang w:val="sk-SK"/>
        </w:rPr>
        <w:t xml:space="preserve"> združenej </w:t>
      </w:r>
      <w:r w:rsidRPr="00D5483B">
        <w:rPr>
          <w:rFonts w:ascii="Calibri" w:hAnsi="Calibri" w:cs="Calibri"/>
          <w:szCs w:val="20"/>
          <w:lang w:val="sk-SK"/>
        </w:rPr>
        <w:t>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3ABA3BC0"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w:t>
      </w:r>
      <w:r w:rsidR="00561C99">
        <w:rPr>
          <w:rFonts w:ascii="Calibri" w:hAnsi="Calibri" w:cs="Calibri"/>
          <w:b/>
          <w:noProof/>
          <w:szCs w:val="20"/>
          <w:lang w:val="sk-SK" w:eastAsia="sk-SK"/>
        </w:rPr>
        <w:t xml:space="preserve"> združenej </w:t>
      </w:r>
      <w:r w:rsidRPr="00D5483B">
        <w:rPr>
          <w:rFonts w:ascii="Calibri" w:hAnsi="Calibri" w:cs="Calibri"/>
          <w:b/>
          <w:noProof/>
          <w:szCs w:val="20"/>
          <w:lang w:val="sk-SK" w:eastAsia="sk-SK"/>
        </w:rPr>
        <w:t>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3F2E3C81"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00561C99">
        <w:rPr>
          <w:rFonts w:ascii="Calibri" w:hAnsi="Calibri" w:cs="Calibri"/>
          <w:szCs w:val="20"/>
          <w:lang w:val="sk-SK"/>
        </w:rPr>
        <w:t xml:space="preserve"> Realizačná </w:t>
      </w:r>
      <w:r w:rsidRPr="00D5483B">
        <w:rPr>
          <w:rFonts w:ascii="Calibri" w:hAnsi="Calibri" w:cs="Calibri"/>
          <w:b/>
          <w:bCs/>
          <w:szCs w:val="20"/>
          <w:lang w:val="sk-SK"/>
        </w:rPr>
        <w:t>Zmluva</w:t>
      </w:r>
      <w:r w:rsidRPr="00D5483B">
        <w:rPr>
          <w:rFonts w:ascii="Calibri" w:hAnsi="Calibri" w:cs="Calibri"/>
          <w:szCs w:val="20"/>
          <w:lang w:val="sk-SK"/>
        </w:rPr>
        <w:t>“</w:t>
      </w:r>
      <w:r w:rsidR="00561C99">
        <w:rPr>
          <w:rFonts w:ascii="Calibri" w:hAnsi="Calibri" w:cs="Calibri"/>
          <w:szCs w:val="20"/>
          <w:lang w:val="sk-SK"/>
        </w:rPr>
        <w:t xml:space="preserve"> alebo „Zmluva“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4C3A54F5" w:rsidR="005213D0" w:rsidRDefault="00946599" w:rsidP="005213D0">
      <w:pPr>
        <w:adjustRightInd w:val="0"/>
        <w:jc w:val="both"/>
        <w:rPr>
          <w:rFonts w:ascii="Calibri" w:hAnsi="Calibri" w:cs="Calibri"/>
          <w:b/>
          <w:szCs w:val="20"/>
          <w:lang w:val="sk-SK"/>
        </w:rPr>
      </w:pPr>
      <w:r>
        <w:rPr>
          <w:rFonts w:ascii="Calibri" w:hAnsi="Calibri" w:cs="Calibri"/>
          <w:b/>
          <w:szCs w:val="20"/>
          <w:lang w:val="sk-SK"/>
        </w:rPr>
        <w:t>a</w:t>
      </w:r>
    </w:p>
    <w:p w14:paraId="083AAF18" w14:textId="77777777" w:rsidR="00946599" w:rsidRPr="00D5483B" w:rsidRDefault="00946599" w:rsidP="005213D0">
      <w:pPr>
        <w:adjustRightInd w:val="0"/>
        <w:jc w:val="both"/>
        <w:rPr>
          <w:rFonts w:ascii="Calibri" w:hAnsi="Calibri" w:cs="Calibri"/>
          <w:b/>
          <w:szCs w:val="20"/>
          <w:lang w:val="sk-SK"/>
        </w:rPr>
      </w:pPr>
    </w:p>
    <w:p w14:paraId="29BB87B8" w14:textId="02F55A48" w:rsidR="005213D0" w:rsidRPr="00946599" w:rsidRDefault="005213D0" w:rsidP="00946599">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3AFFA3A6" w14:textId="52DCD180" w:rsidR="008C222B" w:rsidRPr="00D5483B" w:rsidRDefault="008C222B" w:rsidP="00C42707">
      <w:pPr>
        <w:widowControl/>
        <w:autoSpaceDE/>
        <w:autoSpaceDN/>
        <w:jc w:val="center"/>
        <w:rPr>
          <w:rFonts w:ascii="Calibri" w:hAnsi="Calibri" w:cs="Calibri"/>
          <w:b/>
          <w:bCs/>
          <w:szCs w:val="20"/>
          <w:lang w:val="sk-SK"/>
        </w:rPr>
      </w:pPr>
      <w:r w:rsidRPr="00D5483B">
        <w:rPr>
          <w:rFonts w:ascii="Calibri" w:hAnsi="Calibri" w:cs="Calibri"/>
          <w:b/>
          <w:bCs/>
          <w:szCs w:val="20"/>
          <w:lang w:val="sk-SK"/>
        </w:rPr>
        <w:t>Článok 1</w:t>
      </w:r>
    </w:p>
    <w:p w14:paraId="3ABEDDA4" w14:textId="3F578F7C" w:rsidR="008C222B" w:rsidRPr="00946599" w:rsidRDefault="008C222B" w:rsidP="00946599">
      <w:pPr>
        <w:jc w:val="center"/>
        <w:rPr>
          <w:rFonts w:ascii="Calibri" w:hAnsi="Calibri" w:cs="Calibri"/>
          <w:b/>
          <w:bCs/>
          <w:szCs w:val="20"/>
          <w:lang w:val="sk-SK"/>
        </w:rPr>
      </w:pPr>
      <w:r w:rsidRPr="00D5483B">
        <w:rPr>
          <w:rFonts w:ascii="Calibri" w:hAnsi="Calibri" w:cs="Calibri"/>
          <w:b/>
          <w:bCs/>
          <w:szCs w:val="20"/>
          <w:lang w:val="sk-SK"/>
        </w:rPr>
        <w:t>Úvodné ustanovenia</w:t>
      </w:r>
    </w:p>
    <w:p w14:paraId="138439AB" w14:textId="229C277D" w:rsidR="008C222B" w:rsidRPr="00C42707" w:rsidRDefault="00561C99" w:rsidP="00946599">
      <w:pPr>
        <w:pStyle w:val="Odsekzoznamu"/>
        <w:widowControl/>
        <w:numPr>
          <w:ilvl w:val="1"/>
          <w:numId w:val="5"/>
        </w:numPr>
        <w:autoSpaceDE/>
        <w:autoSpaceDN/>
        <w:spacing w:before="120"/>
        <w:ind w:left="709" w:hanging="851"/>
        <w:contextualSpacing/>
        <w:jc w:val="both"/>
        <w:rPr>
          <w:rFonts w:ascii="Calibri" w:hAnsi="Calibri" w:cs="Calibri"/>
          <w:szCs w:val="20"/>
          <w:lang w:val="sk-SK"/>
        </w:rPr>
      </w:pPr>
      <w:r>
        <w:rPr>
          <w:rFonts w:ascii="Calibri" w:hAnsi="Calibri" w:cs="Calibri"/>
          <w:szCs w:val="20"/>
          <w:lang w:val="sk-SK"/>
        </w:rPr>
        <w:t xml:space="preserve">Zmluvné strany uzatvárajú túto Realizačnú zmluvu o dodávke elektrickej energie (ďalej len „zmluva“) na základe článku </w:t>
      </w:r>
      <w:r w:rsidR="00EF2051">
        <w:rPr>
          <w:rFonts w:ascii="Calibri" w:hAnsi="Calibri" w:cs="Calibri"/>
          <w:szCs w:val="20"/>
          <w:lang w:val="sk-SK"/>
        </w:rPr>
        <w:t>II</w:t>
      </w:r>
      <w:r>
        <w:rPr>
          <w:rFonts w:ascii="Calibri" w:hAnsi="Calibri" w:cs="Calibri"/>
          <w:szCs w:val="20"/>
          <w:lang w:val="sk-SK"/>
        </w:rPr>
        <w:t xml:space="preserve">. Rámcovej dohody o dodávke elektrickej energie </w:t>
      </w:r>
      <w:r w:rsidR="003B6853">
        <w:rPr>
          <w:rFonts w:ascii="Calibri" w:hAnsi="Calibri" w:cs="Calibri"/>
          <w:szCs w:val="20"/>
          <w:lang w:val="sk-SK"/>
        </w:rPr>
        <w:t>č. ......... uzatvorenej dňa ........ (ďalej len „rámcová dohoda).</w:t>
      </w:r>
    </w:p>
    <w:p w14:paraId="1FB7EDB9" w14:textId="470729D7" w:rsidR="008C222B" w:rsidRPr="00C42707" w:rsidRDefault="008C222B" w:rsidP="00946599">
      <w:pPr>
        <w:pStyle w:val="Odsekzoznamu"/>
        <w:widowControl/>
        <w:numPr>
          <w:ilvl w:val="1"/>
          <w:numId w:val="5"/>
        </w:numPr>
        <w:autoSpaceDE/>
        <w:autoSpaceDN/>
        <w:spacing w:before="120"/>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7F514472" w14:textId="1619A163" w:rsidR="008C222B" w:rsidRPr="00946599" w:rsidRDefault="008C222B" w:rsidP="00946599">
      <w:pPr>
        <w:pStyle w:val="Odsekzoznamu"/>
        <w:widowControl/>
        <w:numPr>
          <w:ilvl w:val="1"/>
          <w:numId w:val="5"/>
        </w:numPr>
        <w:autoSpaceDE/>
        <w:autoSpaceDN/>
        <w:spacing w:before="120"/>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6BBBD24E" w14:textId="77777777" w:rsidR="008C222B" w:rsidRPr="00D5483B" w:rsidRDefault="008C222B" w:rsidP="00946599">
      <w:pPr>
        <w:pStyle w:val="Odsekzoznamu"/>
        <w:widowControl/>
        <w:numPr>
          <w:ilvl w:val="1"/>
          <w:numId w:val="5"/>
        </w:numPr>
        <w:autoSpaceDE/>
        <w:autoSpaceDN/>
        <w:spacing w:before="120"/>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28733CF8" w14:textId="6BE2140E" w:rsidR="008C222B" w:rsidRPr="00D5483B" w:rsidRDefault="008C222B" w:rsidP="00736BDC">
      <w:pPr>
        <w:jc w:val="center"/>
        <w:rPr>
          <w:rFonts w:ascii="Calibri" w:hAnsi="Calibri" w:cs="Calibri"/>
          <w:b/>
          <w:bCs/>
          <w:szCs w:val="20"/>
          <w:lang w:val="sk-SK"/>
        </w:rPr>
      </w:pPr>
      <w:r w:rsidRPr="00D5483B">
        <w:rPr>
          <w:rFonts w:ascii="Calibri" w:hAnsi="Calibri" w:cs="Calibri"/>
          <w:b/>
          <w:bCs/>
          <w:szCs w:val="20"/>
          <w:lang w:val="sk-SK"/>
        </w:rPr>
        <w:lastRenderedPageBreak/>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4AB7ABC"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7D470F7F" w14:textId="4FCD791E" w:rsidR="008C222B" w:rsidRPr="00947651" w:rsidRDefault="008C222B" w:rsidP="00947651">
      <w:pPr>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64A17BF0"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a </w:t>
      </w:r>
      <w:r w:rsidR="00017A7B" w:rsidRPr="00724236">
        <w:rPr>
          <w:rFonts w:ascii="Calibri" w:hAnsi="Calibri" w:cs="Calibri"/>
          <w:color w:val="FF0000"/>
          <w:szCs w:val="20"/>
          <w:lang w:val="sk-SK"/>
        </w:rPr>
        <w:t xml:space="preserve">zabezpečiť </w:t>
      </w:r>
      <w:r w:rsidR="002C0DC0" w:rsidRPr="00D5483B">
        <w:rPr>
          <w:rFonts w:ascii="Calibri" w:hAnsi="Calibri" w:cs="Calibri"/>
          <w:szCs w:val="20"/>
          <w:lang w:val="sk-SK"/>
        </w:rPr>
        <w:t xml:space="preserve">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57EF59D1" w14:textId="2DCD76DF" w:rsidR="00C46300" w:rsidRPr="00C46300" w:rsidRDefault="008C222B" w:rsidP="00C46300">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C358480" w14:textId="3B157D0B" w:rsidR="008C222B" w:rsidRPr="00C46300" w:rsidRDefault="008C222B" w:rsidP="00C46300">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6031AAF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a akýchkoľvek okolnostiach, ktoré môžu mať vplyv na zmenu alebo doplnenie alebo udelenie pokynov Objednávateľa voči Poskytovateľovi;</w:t>
      </w:r>
    </w:p>
    <w:p w14:paraId="26E09350" w14:textId="6C792D1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7FC46169"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6D33B1" w:rsidRDefault="008C222B" w:rsidP="1B8ECB4E">
      <w:pPr>
        <w:widowControl/>
        <w:numPr>
          <w:ilvl w:val="2"/>
          <w:numId w:val="7"/>
        </w:numPr>
        <w:autoSpaceDE/>
        <w:autoSpaceDN/>
        <w:ind w:left="1701" w:hanging="992"/>
        <w:jc w:val="both"/>
        <w:rPr>
          <w:rFonts w:ascii="Calibri" w:hAnsi="Calibri" w:cs="Calibri"/>
        </w:rPr>
      </w:pPr>
      <w:proofErr w:type="spellStart"/>
      <w:r w:rsidRPr="1B8ECB4E">
        <w:rPr>
          <w:rFonts w:ascii="Calibri" w:hAnsi="Calibri" w:cs="Calibri"/>
        </w:rPr>
        <w:t>má</w:t>
      </w:r>
      <w:proofErr w:type="spellEnd"/>
      <w:r w:rsidRPr="1B8ECB4E">
        <w:rPr>
          <w:rFonts w:ascii="Calibri" w:hAnsi="Calibri" w:cs="Calibri"/>
        </w:rPr>
        <w:t xml:space="preserve"> </w:t>
      </w:r>
      <w:proofErr w:type="spellStart"/>
      <w:r w:rsidRPr="1B8ECB4E">
        <w:rPr>
          <w:rFonts w:ascii="Calibri" w:hAnsi="Calibri" w:cs="Calibri"/>
        </w:rPr>
        <w:t>platné</w:t>
      </w:r>
      <w:proofErr w:type="spellEnd"/>
      <w:r w:rsidRPr="1B8ECB4E">
        <w:rPr>
          <w:rFonts w:ascii="Calibri" w:hAnsi="Calibri" w:cs="Calibri"/>
        </w:rPr>
        <w:t xml:space="preserve"> </w:t>
      </w:r>
      <w:proofErr w:type="spellStart"/>
      <w:r w:rsidRPr="1B8ECB4E">
        <w:rPr>
          <w:rFonts w:ascii="Calibri" w:hAnsi="Calibri" w:cs="Calibri"/>
        </w:rPr>
        <w:t>povolenie</w:t>
      </w:r>
      <w:proofErr w:type="spellEnd"/>
      <w:r w:rsidRPr="1B8ECB4E">
        <w:rPr>
          <w:rFonts w:ascii="Calibri" w:hAnsi="Calibri" w:cs="Calibri"/>
        </w:rPr>
        <w:t xml:space="preserve"> </w:t>
      </w:r>
      <w:proofErr w:type="spellStart"/>
      <w:r w:rsidRPr="1B8ECB4E">
        <w:rPr>
          <w:rFonts w:ascii="Calibri" w:hAnsi="Calibri" w:cs="Calibri"/>
        </w:rPr>
        <w:t>na</w:t>
      </w:r>
      <w:proofErr w:type="spellEnd"/>
      <w:r w:rsidRPr="1B8ECB4E">
        <w:rPr>
          <w:rFonts w:ascii="Calibri" w:hAnsi="Calibri" w:cs="Calibri"/>
        </w:rPr>
        <w:t xml:space="preserve"> </w:t>
      </w:r>
      <w:proofErr w:type="spellStart"/>
      <w:r w:rsidRPr="1B8ECB4E">
        <w:rPr>
          <w:rFonts w:ascii="Calibri" w:hAnsi="Calibri" w:cs="Calibri"/>
        </w:rPr>
        <w:t>podnikanie</w:t>
      </w:r>
      <w:proofErr w:type="spellEnd"/>
      <w:r w:rsidRPr="1B8ECB4E">
        <w:rPr>
          <w:rFonts w:ascii="Calibri" w:hAnsi="Calibri" w:cs="Calibri"/>
        </w:rPr>
        <w:t xml:space="preserve"> v </w:t>
      </w:r>
      <w:proofErr w:type="spellStart"/>
      <w:r w:rsidRPr="1B8ECB4E">
        <w:rPr>
          <w:rFonts w:ascii="Calibri" w:hAnsi="Calibri" w:cs="Calibri"/>
        </w:rPr>
        <w:t>energetike</w:t>
      </w:r>
      <w:proofErr w:type="spellEnd"/>
      <w:r w:rsidRPr="1B8ECB4E">
        <w:rPr>
          <w:rFonts w:ascii="Calibri" w:hAnsi="Calibri" w:cs="Calibri"/>
        </w:rPr>
        <w:t xml:space="preserve">, </w:t>
      </w:r>
      <w:proofErr w:type="spellStart"/>
      <w:r w:rsidRPr="1B8ECB4E">
        <w:rPr>
          <w:rFonts w:ascii="Calibri" w:hAnsi="Calibri" w:cs="Calibri"/>
        </w:rPr>
        <w:t>ktoré</w:t>
      </w:r>
      <w:proofErr w:type="spellEnd"/>
      <w:r w:rsidRPr="1B8ECB4E">
        <w:rPr>
          <w:rFonts w:ascii="Calibri" w:hAnsi="Calibri" w:cs="Calibri"/>
        </w:rPr>
        <w:t xml:space="preserve"> </w:t>
      </w:r>
      <w:proofErr w:type="spellStart"/>
      <w:r w:rsidRPr="1B8ECB4E">
        <w:rPr>
          <w:rFonts w:ascii="Calibri" w:hAnsi="Calibri" w:cs="Calibri"/>
        </w:rPr>
        <w:t>poskytovateľa</w:t>
      </w:r>
      <w:proofErr w:type="spellEnd"/>
      <w:r w:rsidRPr="1B8ECB4E">
        <w:rPr>
          <w:rFonts w:ascii="Calibri" w:hAnsi="Calibri" w:cs="Calibri"/>
        </w:rPr>
        <w:t xml:space="preserve"> </w:t>
      </w:r>
      <w:proofErr w:type="spellStart"/>
      <w:r w:rsidRPr="1B8ECB4E">
        <w:rPr>
          <w:rFonts w:ascii="Calibri" w:hAnsi="Calibri" w:cs="Calibri"/>
        </w:rPr>
        <w:t>oprávňuje</w:t>
      </w:r>
      <w:proofErr w:type="spellEnd"/>
      <w:r w:rsidRPr="1B8ECB4E">
        <w:rPr>
          <w:rFonts w:ascii="Calibri" w:hAnsi="Calibri" w:cs="Calibri"/>
        </w:rPr>
        <w:t xml:space="preserve"> </w:t>
      </w:r>
      <w:proofErr w:type="spellStart"/>
      <w:r w:rsidRPr="1B8ECB4E">
        <w:rPr>
          <w:rFonts w:ascii="Calibri" w:hAnsi="Calibri" w:cs="Calibri"/>
        </w:rPr>
        <w:t>podnikať</w:t>
      </w:r>
      <w:proofErr w:type="spellEnd"/>
      <w:r w:rsidRPr="1B8ECB4E">
        <w:rPr>
          <w:rFonts w:ascii="Calibri" w:hAnsi="Calibri" w:cs="Calibri"/>
        </w:rPr>
        <w:t xml:space="preserve"> v </w:t>
      </w:r>
      <w:proofErr w:type="spellStart"/>
      <w:r w:rsidRPr="1B8ECB4E">
        <w:rPr>
          <w:rFonts w:ascii="Calibri" w:hAnsi="Calibri" w:cs="Calibri"/>
        </w:rPr>
        <w:t>oblasti</w:t>
      </w:r>
      <w:proofErr w:type="spellEnd"/>
      <w:r w:rsidRPr="1B8ECB4E">
        <w:rPr>
          <w:rFonts w:ascii="Calibri" w:hAnsi="Calibri" w:cs="Calibri"/>
        </w:rPr>
        <w:t xml:space="preserve"> </w:t>
      </w:r>
      <w:proofErr w:type="spellStart"/>
      <w:r w:rsidRPr="1B8ECB4E">
        <w:rPr>
          <w:rFonts w:ascii="Calibri" w:hAnsi="Calibri" w:cs="Calibri"/>
        </w:rPr>
        <w:t>dodávky</w:t>
      </w:r>
      <w:proofErr w:type="spellEnd"/>
      <w:r w:rsidRPr="1B8ECB4E">
        <w:rPr>
          <w:rFonts w:ascii="Calibri" w:hAnsi="Calibri" w:cs="Calibri"/>
        </w:rPr>
        <w:t xml:space="preserve"> </w:t>
      </w:r>
      <w:proofErr w:type="spellStart"/>
      <w:r w:rsidR="00EB7B07" w:rsidRPr="1B8ECB4E">
        <w:rPr>
          <w:rFonts w:ascii="Calibri" w:hAnsi="Calibri" w:cs="Calibri"/>
        </w:rPr>
        <w:t>elektriny</w:t>
      </w:r>
      <w:proofErr w:type="spellEnd"/>
      <w:r w:rsidR="00EB7B07" w:rsidRPr="1B8ECB4E">
        <w:rPr>
          <w:rFonts w:ascii="Calibri" w:hAnsi="Calibri" w:cs="Calibri"/>
        </w:rPr>
        <w:t xml:space="preserve"> </w:t>
      </w:r>
      <w:proofErr w:type="spellStart"/>
      <w:r w:rsidRPr="1B8ECB4E">
        <w:rPr>
          <w:rFonts w:ascii="Calibri" w:hAnsi="Calibri" w:cs="Calibri"/>
        </w:rPr>
        <w:t>na</w:t>
      </w:r>
      <w:proofErr w:type="spellEnd"/>
      <w:r w:rsidRPr="1B8ECB4E">
        <w:rPr>
          <w:rFonts w:ascii="Calibri" w:hAnsi="Calibri" w:cs="Calibri"/>
        </w:rPr>
        <w:t xml:space="preserve"> </w:t>
      </w:r>
      <w:proofErr w:type="spellStart"/>
      <w:r w:rsidRPr="1B8ECB4E">
        <w:rPr>
          <w:rFonts w:ascii="Calibri" w:hAnsi="Calibri" w:cs="Calibri"/>
        </w:rPr>
        <w:t>území</w:t>
      </w:r>
      <w:proofErr w:type="spellEnd"/>
      <w:r w:rsidRPr="1B8ECB4E">
        <w:rPr>
          <w:rFonts w:ascii="Calibri" w:hAnsi="Calibri" w:cs="Calibri"/>
        </w:rPr>
        <w:t xml:space="preserve"> SR v </w:t>
      </w:r>
      <w:proofErr w:type="spellStart"/>
      <w:r w:rsidRPr="1B8ECB4E">
        <w:rPr>
          <w:rFonts w:ascii="Calibri" w:hAnsi="Calibri" w:cs="Calibri"/>
        </w:rPr>
        <w:t>súlade</w:t>
      </w:r>
      <w:proofErr w:type="spellEnd"/>
      <w:r w:rsidRPr="1B8ECB4E">
        <w:rPr>
          <w:rFonts w:ascii="Calibri" w:hAnsi="Calibri" w:cs="Calibri"/>
        </w:rPr>
        <w:t xml:space="preserve"> so </w:t>
      </w:r>
      <w:proofErr w:type="spellStart"/>
      <w:r w:rsidRPr="1B8ECB4E">
        <w:rPr>
          <w:rFonts w:ascii="Calibri" w:hAnsi="Calibri" w:cs="Calibri"/>
        </w:rPr>
        <w:t>zákonom</w:t>
      </w:r>
      <w:proofErr w:type="spellEnd"/>
      <w:r w:rsidRPr="1B8ECB4E">
        <w:rPr>
          <w:rFonts w:ascii="Calibri" w:hAnsi="Calibri" w:cs="Calibri"/>
        </w:rPr>
        <w:t xml:space="preserve"> č. 251/2012 </w:t>
      </w:r>
      <w:r w:rsidR="004D7C13" w:rsidRPr="1B8ECB4E">
        <w:rPr>
          <w:rFonts w:ascii="Calibri" w:hAnsi="Calibri" w:cs="Calibri"/>
        </w:rPr>
        <w:t>Z. z</w:t>
      </w:r>
      <w:r w:rsidRPr="1B8ECB4E">
        <w:rPr>
          <w:rFonts w:ascii="Calibri" w:hAnsi="Calibri" w:cs="Calibri"/>
        </w:rPr>
        <w:t>. o </w:t>
      </w:r>
      <w:proofErr w:type="spellStart"/>
      <w:r w:rsidRPr="1B8ECB4E">
        <w:rPr>
          <w:rFonts w:ascii="Calibri" w:hAnsi="Calibri" w:cs="Calibri"/>
        </w:rPr>
        <w:t>energetike</w:t>
      </w:r>
      <w:proofErr w:type="spellEnd"/>
      <w:r w:rsidRPr="1B8ECB4E">
        <w:rPr>
          <w:rFonts w:ascii="Calibri" w:hAnsi="Calibri" w:cs="Calibri"/>
        </w:rPr>
        <w:t xml:space="preserve"> </w:t>
      </w:r>
      <w:r w:rsidR="0024565E" w:rsidRPr="1B8ECB4E">
        <w:rPr>
          <w:rFonts w:ascii="Calibri" w:hAnsi="Calibri" w:cs="Calibri"/>
        </w:rPr>
        <w:t>a o </w:t>
      </w:r>
      <w:proofErr w:type="spellStart"/>
      <w:r w:rsidR="0024565E" w:rsidRPr="1B8ECB4E">
        <w:rPr>
          <w:rFonts w:ascii="Calibri" w:hAnsi="Calibri" w:cs="Calibri"/>
        </w:rPr>
        <w:t>zmene</w:t>
      </w:r>
      <w:proofErr w:type="spellEnd"/>
      <w:r w:rsidR="0024565E" w:rsidRPr="1B8ECB4E">
        <w:rPr>
          <w:rFonts w:ascii="Calibri" w:hAnsi="Calibri" w:cs="Calibri"/>
        </w:rPr>
        <w:t xml:space="preserve"> a </w:t>
      </w:r>
      <w:proofErr w:type="spellStart"/>
      <w:r w:rsidR="0024565E" w:rsidRPr="1B8ECB4E">
        <w:rPr>
          <w:rFonts w:ascii="Calibri" w:hAnsi="Calibri" w:cs="Calibri"/>
        </w:rPr>
        <w:t>doplnení</w:t>
      </w:r>
      <w:proofErr w:type="spellEnd"/>
      <w:r w:rsidR="0024565E" w:rsidRPr="1B8ECB4E">
        <w:rPr>
          <w:rFonts w:ascii="Calibri" w:hAnsi="Calibri" w:cs="Calibri"/>
        </w:rPr>
        <w:t xml:space="preserve"> </w:t>
      </w:r>
      <w:proofErr w:type="spellStart"/>
      <w:r w:rsidR="0024565E" w:rsidRPr="1B8ECB4E">
        <w:rPr>
          <w:rFonts w:ascii="Calibri" w:hAnsi="Calibri" w:cs="Calibri"/>
        </w:rPr>
        <w:t>niektorých</w:t>
      </w:r>
      <w:proofErr w:type="spellEnd"/>
      <w:r w:rsidR="0024565E" w:rsidRPr="1B8ECB4E">
        <w:rPr>
          <w:rFonts w:ascii="Calibri" w:hAnsi="Calibri" w:cs="Calibri"/>
        </w:rPr>
        <w:t xml:space="preserve"> </w:t>
      </w:r>
      <w:proofErr w:type="spellStart"/>
      <w:r w:rsidR="0024565E" w:rsidRPr="1B8ECB4E">
        <w:rPr>
          <w:rFonts w:ascii="Calibri" w:hAnsi="Calibri" w:cs="Calibri"/>
        </w:rPr>
        <w:t>zákonov</w:t>
      </w:r>
      <w:proofErr w:type="spellEnd"/>
      <w:r w:rsidR="0024565E" w:rsidRPr="1B8ECB4E">
        <w:rPr>
          <w:rFonts w:ascii="Calibri" w:hAnsi="Calibri" w:cs="Calibri"/>
        </w:rPr>
        <w:t xml:space="preserve"> v </w:t>
      </w:r>
      <w:proofErr w:type="spellStart"/>
      <w:r w:rsidR="0024565E" w:rsidRPr="1B8ECB4E">
        <w:rPr>
          <w:rFonts w:ascii="Calibri" w:hAnsi="Calibri" w:cs="Calibri"/>
        </w:rPr>
        <w:t>znení</w:t>
      </w:r>
      <w:proofErr w:type="spellEnd"/>
      <w:r w:rsidR="0024565E" w:rsidRPr="1B8ECB4E">
        <w:rPr>
          <w:rFonts w:ascii="Calibri" w:hAnsi="Calibri" w:cs="Calibri"/>
        </w:rPr>
        <w:t xml:space="preserve"> </w:t>
      </w:r>
      <w:proofErr w:type="spellStart"/>
      <w:r w:rsidR="0024565E" w:rsidRPr="1B8ECB4E">
        <w:rPr>
          <w:rFonts w:ascii="Calibri" w:hAnsi="Calibri" w:cs="Calibri"/>
        </w:rPr>
        <w:t>neskorších</w:t>
      </w:r>
      <w:proofErr w:type="spellEnd"/>
      <w:r w:rsidR="0024565E" w:rsidRPr="1B8ECB4E">
        <w:rPr>
          <w:rFonts w:ascii="Calibri" w:hAnsi="Calibri" w:cs="Calibri"/>
        </w:rPr>
        <w:t xml:space="preserve"> </w:t>
      </w:r>
      <w:proofErr w:type="spellStart"/>
      <w:r w:rsidR="0024565E" w:rsidRPr="1B8ECB4E">
        <w:rPr>
          <w:rFonts w:ascii="Calibri" w:hAnsi="Calibri" w:cs="Calibri"/>
        </w:rPr>
        <w:t>predpisov</w:t>
      </w:r>
      <w:proofErr w:type="spellEnd"/>
      <w:r w:rsidR="0024565E" w:rsidRPr="1B8ECB4E">
        <w:rPr>
          <w:rFonts w:ascii="Calibri" w:hAnsi="Calibri" w:cs="Calibri"/>
        </w:rPr>
        <w:t xml:space="preserve"> </w:t>
      </w:r>
      <w:r w:rsidRPr="1B8ECB4E">
        <w:rPr>
          <w:rFonts w:ascii="Calibri" w:hAnsi="Calibri" w:cs="Calibri"/>
        </w:rPr>
        <w:t xml:space="preserve"> (</w:t>
      </w:r>
      <w:proofErr w:type="spellStart"/>
      <w:r w:rsidRPr="1B8ECB4E">
        <w:rPr>
          <w:rFonts w:ascii="Calibri" w:hAnsi="Calibri" w:cs="Calibri"/>
        </w:rPr>
        <w:t>ďalej</w:t>
      </w:r>
      <w:proofErr w:type="spellEnd"/>
      <w:r w:rsidRPr="1B8ECB4E">
        <w:rPr>
          <w:rFonts w:ascii="Calibri" w:hAnsi="Calibri" w:cs="Calibri"/>
        </w:rPr>
        <w:t xml:space="preserve"> </w:t>
      </w:r>
      <w:proofErr w:type="spellStart"/>
      <w:r w:rsidRPr="1B8ECB4E">
        <w:rPr>
          <w:rFonts w:ascii="Calibri" w:hAnsi="Calibri" w:cs="Calibri"/>
        </w:rPr>
        <w:t>ako</w:t>
      </w:r>
      <w:proofErr w:type="spellEnd"/>
      <w:r w:rsidRPr="1B8ECB4E">
        <w:rPr>
          <w:rFonts w:ascii="Calibri" w:hAnsi="Calibri" w:cs="Calibri"/>
        </w:rPr>
        <w:t xml:space="preserve"> „</w:t>
      </w:r>
      <w:proofErr w:type="spellStart"/>
      <w:r w:rsidRPr="1B8ECB4E">
        <w:rPr>
          <w:rFonts w:ascii="Calibri" w:hAnsi="Calibri" w:cs="Calibri"/>
          <w:b/>
          <w:bCs/>
        </w:rPr>
        <w:t>Zákon</w:t>
      </w:r>
      <w:proofErr w:type="spellEnd"/>
      <w:r w:rsidRPr="1B8ECB4E">
        <w:rPr>
          <w:rFonts w:ascii="Calibri" w:hAnsi="Calibri" w:cs="Calibri"/>
          <w:b/>
          <w:bCs/>
        </w:rPr>
        <w:t xml:space="preserve"> o </w:t>
      </w:r>
      <w:proofErr w:type="spellStart"/>
      <w:r w:rsidRPr="1B8ECB4E">
        <w:rPr>
          <w:rFonts w:ascii="Calibri" w:hAnsi="Calibri" w:cs="Calibri"/>
          <w:b/>
          <w:bCs/>
        </w:rPr>
        <w:t>energetike</w:t>
      </w:r>
      <w:proofErr w:type="spellEnd"/>
      <w:r w:rsidRPr="1B8ECB4E">
        <w:rPr>
          <w:rFonts w:ascii="Calibri" w:hAnsi="Calibri" w:cs="Calibri"/>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3420DEC5" w14:textId="7BE8FB0C" w:rsidR="008C222B" w:rsidRPr="006B465D" w:rsidRDefault="008C222B" w:rsidP="006B465D">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5FC90375" w14:textId="77777777" w:rsidR="008C222B" w:rsidRPr="00D71CFC" w:rsidRDefault="008C222B" w:rsidP="00D71CFC">
      <w:pPr>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3B9EA33E" w:rsidR="008C222B" w:rsidRPr="00F85CCB" w:rsidRDefault="00911420" w:rsidP="008C222B">
      <w:pPr>
        <w:pStyle w:val="Odsekzoznamu"/>
        <w:widowControl/>
        <w:numPr>
          <w:ilvl w:val="1"/>
          <w:numId w:val="8"/>
        </w:numPr>
        <w:autoSpaceDE/>
        <w:autoSpaceDN/>
        <w:ind w:left="709" w:hanging="709"/>
        <w:contextualSpacing/>
        <w:jc w:val="both"/>
        <w:rPr>
          <w:rFonts w:ascii="Calibri" w:hAnsi="Calibri" w:cs="Calibri"/>
          <w:color w:val="FF0000"/>
          <w:szCs w:val="20"/>
          <w:lang w:val="sk-SK" w:eastAsia="de-DE"/>
        </w:rPr>
      </w:pPr>
      <w:r w:rsidRPr="00F85CCB">
        <w:rPr>
          <w:rFonts w:ascii="Calibri" w:hAnsi="Calibri" w:cs="Calibri"/>
          <w:color w:val="FF0000"/>
          <w:szCs w:val="20"/>
          <w:lang w:val="sk-SK" w:eastAsia="de-DE"/>
        </w:rPr>
        <w:t>Výška aditívneho koeficientu v EUR bez dane z pridanej hodnoty sú uvedené v Prílohe č. 3 tejto Zmluvy. Ceny sú stanovené dohodou v zmysle zákona č. 18/1996 Z. z. o cenách v znení neskorších predpisov a vyhlášky Ministerstva financií Slovenskej republiky č. 87/1996 Z. z., ktorou sa vykonáva zákon č. 18/1996 Z. z. o cenách v znení neskorších predpisov. Spôsob stanovenia celkovej ceny za dodávku elektriny sa riadi bodom č. 3 Ceny za dodávku elektriny Čl. V. Rámcovej dohody – Predpokladané zmluvné množstvo, určenie ceny a platobné podmienky</w:t>
      </w:r>
    </w:p>
    <w:p w14:paraId="4B1FD990" w14:textId="77777777" w:rsidR="008C222B" w:rsidRPr="00D5483B" w:rsidRDefault="008C222B" w:rsidP="005213D0">
      <w:pPr>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3"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3"/>
    </w:p>
    <w:p w14:paraId="7520407D" w14:textId="1D516C23" w:rsidR="001D7811" w:rsidRPr="00666A2D" w:rsidRDefault="0011429F" w:rsidP="008C222B">
      <w:pPr>
        <w:pStyle w:val="Odsekzoznamu"/>
        <w:widowControl/>
        <w:numPr>
          <w:ilvl w:val="2"/>
          <w:numId w:val="8"/>
        </w:numPr>
        <w:autoSpaceDE/>
        <w:autoSpaceDN/>
        <w:ind w:left="1701" w:hanging="992"/>
        <w:contextualSpacing/>
        <w:jc w:val="both"/>
        <w:rPr>
          <w:rFonts w:ascii="Calibri" w:hAnsi="Calibri" w:cs="Calibri"/>
          <w:color w:val="FF0000"/>
          <w:szCs w:val="20"/>
          <w:lang w:val="sk-SK" w:eastAsia="de-DE"/>
        </w:rPr>
      </w:pPr>
      <w:r w:rsidRPr="00666A2D">
        <w:rPr>
          <w:rFonts w:ascii="Calibri" w:hAnsi="Calibri" w:cs="Calibri"/>
          <w:color w:val="FF0000"/>
          <w:szCs w:val="20"/>
          <w:lang w:val="sk-SK" w:eastAsia="de-DE"/>
        </w:rPr>
        <w:t xml:space="preserve">cena </w:t>
      </w:r>
      <w:r w:rsidR="00B803D9" w:rsidRPr="00666A2D">
        <w:rPr>
          <w:rFonts w:ascii="Calibri" w:hAnsi="Calibri" w:cs="Calibri"/>
          <w:color w:val="FF0000"/>
          <w:szCs w:val="20"/>
          <w:lang w:val="sk-SK" w:eastAsia="de-DE"/>
        </w:rPr>
        <w:t xml:space="preserve">za zabezpečenie distribučných služieb a ostatné poplatky fakturované PDS sú určené podľa množstva dodanej elektriny a dohodnutej výšky RK pre príslušné OM, v súlade s platnými cenovými rozhodnutiami ÚRSO vzťahujúcimi sa na distribučné služby poskytované príslušným PDS. Dodávateľ účtuje odberateľovi ostatné služby súvisiace s distribúciou elektriny podľa platného cenníka služieb distribúcie príslušného PDS. Cenové rozhodnutia ÚRSO a cenník služieb distribúcie sú uverejnené na webovom sídle príslušného PDS </w:t>
      </w:r>
      <w:r w:rsidR="00976AED" w:rsidRPr="00666A2D">
        <w:rPr>
          <w:rFonts w:ascii="Calibri" w:hAnsi="Calibri" w:cs="Calibri"/>
          <w:color w:val="FF0000"/>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4" w:name="OLE_LINK51"/>
      <w:r w:rsidR="00AA5912" w:rsidRPr="00D5483B">
        <w:rPr>
          <w:rFonts w:ascii="Calibri" w:hAnsi="Calibri" w:cs="Calibri"/>
          <w:szCs w:val="20"/>
          <w:lang w:val="sk-SK" w:eastAsia="de-DE"/>
        </w:rPr>
        <w:t xml:space="preserve">účinnými </w:t>
      </w:r>
      <w:bookmarkStart w:id="5" w:name="OLE_LINK54"/>
      <w:r w:rsidR="00AA5912" w:rsidRPr="00D5483B">
        <w:rPr>
          <w:rFonts w:ascii="Calibri" w:hAnsi="Calibri" w:cs="Calibri"/>
          <w:szCs w:val="20"/>
          <w:lang w:val="sk-SK" w:eastAsia="de-DE"/>
        </w:rPr>
        <w:t>v čase dodania plnení</w:t>
      </w:r>
      <w:bookmarkEnd w:id="4"/>
      <w:bookmarkEnd w:id="5"/>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6D33B1" w:rsidRDefault="00B93F3C" w:rsidP="1B8ECB4E">
      <w:pPr>
        <w:pStyle w:val="Odsekzoznamu"/>
        <w:widowControl/>
        <w:numPr>
          <w:ilvl w:val="2"/>
          <w:numId w:val="8"/>
        </w:numPr>
        <w:autoSpaceDE/>
        <w:autoSpaceDN/>
        <w:ind w:left="1701" w:hanging="992"/>
        <w:contextualSpacing/>
        <w:jc w:val="both"/>
        <w:rPr>
          <w:rFonts w:ascii="Calibri" w:hAnsi="Calibri" w:cs="Calibri"/>
          <w:lang w:eastAsia="de-DE"/>
        </w:rPr>
      </w:pPr>
      <w:proofErr w:type="spellStart"/>
      <w:r w:rsidRPr="1B8ECB4E">
        <w:rPr>
          <w:rFonts w:ascii="Calibri" w:hAnsi="Calibri" w:cs="Calibri"/>
          <w:lang w:eastAsia="de-DE"/>
        </w:rPr>
        <w:t>spotrebná</w:t>
      </w:r>
      <w:proofErr w:type="spellEnd"/>
      <w:r w:rsidRPr="1B8ECB4E">
        <w:rPr>
          <w:rFonts w:ascii="Calibri" w:hAnsi="Calibri" w:cs="Calibri"/>
          <w:lang w:eastAsia="de-DE"/>
        </w:rPr>
        <w:t xml:space="preserve"> </w:t>
      </w:r>
      <w:proofErr w:type="spellStart"/>
      <w:r w:rsidRPr="1B8ECB4E">
        <w:rPr>
          <w:rFonts w:ascii="Calibri" w:hAnsi="Calibri" w:cs="Calibri"/>
          <w:lang w:eastAsia="de-DE"/>
        </w:rPr>
        <w:t>daň</w:t>
      </w:r>
      <w:proofErr w:type="spellEnd"/>
      <w:r w:rsidRPr="1B8ECB4E">
        <w:rPr>
          <w:rFonts w:ascii="Calibri" w:hAnsi="Calibri" w:cs="Calibri"/>
          <w:lang w:eastAsia="de-DE"/>
        </w:rPr>
        <w:t xml:space="preserve"> z </w:t>
      </w:r>
      <w:proofErr w:type="spellStart"/>
      <w:r w:rsidRPr="1B8ECB4E">
        <w:rPr>
          <w:rFonts w:ascii="Calibri" w:hAnsi="Calibri" w:cs="Calibri"/>
          <w:lang w:eastAsia="de-DE"/>
        </w:rPr>
        <w:t>elektriny</w:t>
      </w:r>
      <w:proofErr w:type="spellEnd"/>
      <w:r w:rsidRPr="1B8ECB4E">
        <w:rPr>
          <w:rFonts w:ascii="Calibri" w:hAnsi="Calibri" w:cs="Calibri"/>
          <w:lang w:eastAsia="de-DE"/>
        </w:rPr>
        <w:t xml:space="preserve"> </w:t>
      </w:r>
      <w:proofErr w:type="spellStart"/>
      <w:r w:rsidRPr="1B8ECB4E">
        <w:rPr>
          <w:rFonts w:ascii="Calibri" w:hAnsi="Calibri" w:cs="Calibri"/>
          <w:lang w:eastAsia="de-DE"/>
        </w:rPr>
        <w:t>podľa</w:t>
      </w:r>
      <w:proofErr w:type="spellEnd"/>
      <w:r w:rsidRPr="1B8ECB4E">
        <w:rPr>
          <w:rFonts w:ascii="Calibri" w:hAnsi="Calibri" w:cs="Calibri"/>
          <w:lang w:eastAsia="de-DE"/>
        </w:rPr>
        <w:t xml:space="preserve"> </w:t>
      </w:r>
      <w:proofErr w:type="spellStart"/>
      <w:r w:rsidRPr="1B8ECB4E">
        <w:rPr>
          <w:rFonts w:ascii="Calibri" w:hAnsi="Calibri" w:cs="Calibri"/>
          <w:lang w:eastAsia="de-DE"/>
        </w:rPr>
        <w:t>zákona</w:t>
      </w:r>
      <w:proofErr w:type="spellEnd"/>
      <w:r w:rsidRPr="1B8ECB4E">
        <w:rPr>
          <w:rFonts w:ascii="Calibri" w:hAnsi="Calibri" w:cs="Calibri"/>
          <w:lang w:eastAsia="de-DE"/>
        </w:rPr>
        <w:t xml:space="preserve"> č. 609/2007 </w:t>
      </w:r>
      <w:r w:rsidR="004D7C13" w:rsidRPr="1B8ECB4E">
        <w:rPr>
          <w:rFonts w:ascii="Calibri" w:hAnsi="Calibri" w:cs="Calibri"/>
          <w:lang w:eastAsia="de-DE"/>
        </w:rPr>
        <w:t>Z. z</w:t>
      </w:r>
      <w:r w:rsidRPr="1B8ECB4E">
        <w:rPr>
          <w:rFonts w:ascii="Calibri" w:hAnsi="Calibri" w:cs="Calibri"/>
          <w:lang w:eastAsia="de-DE"/>
        </w:rPr>
        <w:t>. o </w:t>
      </w:r>
      <w:proofErr w:type="spellStart"/>
      <w:r w:rsidRPr="1B8ECB4E">
        <w:rPr>
          <w:rFonts w:ascii="Calibri" w:hAnsi="Calibri" w:cs="Calibri"/>
          <w:lang w:eastAsia="de-DE"/>
        </w:rPr>
        <w:t>spotrebnej</w:t>
      </w:r>
      <w:proofErr w:type="spellEnd"/>
      <w:r w:rsidRPr="1B8ECB4E">
        <w:rPr>
          <w:rFonts w:ascii="Calibri" w:hAnsi="Calibri" w:cs="Calibri"/>
          <w:lang w:eastAsia="de-DE"/>
        </w:rPr>
        <w:t xml:space="preserve"> </w:t>
      </w:r>
      <w:proofErr w:type="spellStart"/>
      <w:r w:rsidRPr="1B8ECB4E">
        <w:rPr>
          <w:rFonts w:ascii="Calibri" w:hAnsi="Calibri" w:cs="Calibri"/>
          <w:lang w:eastAsia="de-DE"/>
        </w:rPr>
        <w:t>dani</w:t>
      </w:r>
      <w:proofErr w:type="spellEnd"/>
      <w:r w:rsidRPr="1B8ECB4E">
        <w:rPr>
          <w:rFonts w:ascii="Calibri" w:hAnsi="Calibri" w:cs="Calibri"/>
          <w:lang w:eastAsia="de-DE"/>
        </w:rPr>
        <w:t xml:space="preserve"> </w:t>
      </w:r>
      <w:r w:rsidR="004C1706" w:rsidRPr="1B8ECB4E">
        <w:rPr>
          <w:rFonts w:ascii="Calibri" w:hAnsi="Calibri" w:cs="Calibri"/>
          <w:lang w:eastAsia="de-DE"/>
        </w:rPr>
        <w:t xml:space="preserve"> </w:t>
      </w:r>
      <w:r w:rsidR="004C1706" w:rsidRPr="1B8ECB4E">
        <w:rPr>
          <w:rFonts w:ascii="Calibri" w:hAnsi="Calibri" w:cs="Calibri"/>
        </w:rPr>
        <w:t xml:space="preserve">a o </w:t>
      </w:r>
      <w:proofErr w:type="spellStart"/>
      <w:r w:rsidR="004C1706" w:rsidRPr="1B8ECB4E">
        <w:rPr>
          <w:rFonts w:ascii="Calibri" w:hAnsi="Calibri" w:cs="Calibri"/>
        </w:rPr>
        <w:t>zmene</w:t>
      </w:r>
      <w:proofErr w:type="spellEnd"/>
      <w:r w:rsidR="004C1706" w:rsidRPr="1B8ECB4E">
        <w:rPr>
          <w:rFonts w:ascii="Calibri" w:hAnsi="Calibri" w:cs="Calibri"/>
        </w:rPr>
        <w:t xml:space="preserve"> a </w:t>
      </w:r>
      <w:proofErr w:type="spellStart"/>
      <w:r w:rsidR="004C1706" w:rsidRPr="1B8ECB4E">
        <w:rPr>
          <w:rFonts w:ascii="Calibri" w:hAnsi="Calibri" w:cs="Calibri"/>
        </w:rPr>
        <w:t>doplnení</w:t>
      </w:r>
      <w:proofErr w:type="spellEnd"/>
      <w:r w:rsidR="004C1706" w:rsidRPr="1B8ECB4E">
        <w:rPr>
          <w:rFonts w:ascii="Calibri" w:hAnsi="Calibri" w:cs="Calibri"/>
        </w:rPr>
        <w:t xml:space="preserve"> </w:t>
      </w:r>
      <w:proofErr w:type="spellStart"/>
      <w:r w:rsidR="004C1706" w:rsidRPr="1B8ECB4E">
        <w:rPr>
          <w:rFonts w:ascii="Calibri" w:hAnsi="Calibri" w:cs="Calibri"/>
        </w:rPr>
        <w:t>zákona</w:t>
      </w:r>
      <w:proofErr w:type="spellEnd"/>
      <w:r w:rsidR="004C1706" w:rsidRPr="1B8ECB4E">
        <w:rPr>
          <w:rFonts w:ascii="Calibri" w:hAnsi="Calibri" w:cs="Calibri"/>
        </w:rPr>
        <w:t xml:space="preserve"> č. 98/2004 Z. z. o </w:t>
      </w:r>
      <w:proofErr w:type="spellStart"/>
      <w:r w:rsidR="004C1706" w:rsidRPr="1B8ECB4E">
        <w:rPr>
          <w:rFonts w:ascii="Calibri" w:hAnsi="Calibri" w:cs="Calibri"/>
        </w:rPr>
        <w:t>spotrebnej</w:t>
      </w:r>
      <w:proofErr w:type="spellEnd"/>
      <w:r w:rsidR="004C1706" w:rsidRPr="1B8ECB4E">
        <w:rPr>
          <w:rFonts w:ascii="Calibri" w:hAnsi="Calibri" w:cs="Calibri"/>
        </w:rPr>
        <w:t xml:space="preserve"> </w:t>
      </w:r>
      <w:proofErr w:type="spellStart"/>
      <w:r w:rsidR="004C1706" w:rsidRPr="1B8ECB4E">
        <w:rPr>
          <w:rFonts w:ascii="Calibri" w:hAnsi="Calibri" w:cs="Calibri"/>
        </w:rPr>
        <w:t>dani</w:t>
      </w:r>
      <w:proofErr w:type="spellEnd"/>
      <w:r w:rsidR="004C1706" w:rsidRPr="1B8ECB4E">
        <w:rPr>
          <w:rFonts w:ascii="Calibri" w:hAnsi="Calibri" w:cs="Calibri"/>
        </w:rPr>
        <w:t xml:space="preserve"> z </w:t>
      </w:r>
      <w:proofErr w:type="spellStart"/>
      <w:r w:rsidR="004C1706" w:rsidRPr="1B8ECB4E">
        <w:rPr>
          <w:rFonts w:ascii="Calibri" w:hAnsi="Calibri" w:cs="Calibri"/>
        </w:rPr>
        <w:t>minerálneho</w:t>
      </w:r>
      <w:proofErr w:type="spellEnd"/>
      <w:r w:rsidR="004C1706" w:rsidRPr="1B8ECB4E">
        <w:rPr>
          <w:rFonts w:ascii="Calibri" w:hAnsi="Calibri" w:cs="Calibri"/>
        </w:rPr>
        <w:t xml:space="preserve"> </w:t>
      </w:r>
      <w:proofErr w:type="spellStart"/>
      <w:r w:rsidR="004C1706" w:rsidRPr="1B8ECB4E">
        <w:rPr>
          <w:rFonts w:ascii="Calibri" w:hAnsi="Calibri" w:cs="Calibri"/>
        </w:rPr>
        <w:t>oleja</w:t>
      </w:r>
      <w:proofErr w:type="spellEnd"/>
      <w:r w:rsidR="004C1706" w:rsidRPr="1B8ECB4E">
        <w:rPr>
          <w:rFonts w:ascii="Calibri" w:hAnsi="Calibri" w:cs="Calibri"/>
        </w:rPr>
        <w:t xml:space="preserve"> v </w:t>
      </w:r>
      <w:proofErr w:type="spellStart"/>
      <w:r w:rsidR="004C1706" w:rsidRPr="1B8ECB4E">
        <w:rPr>
          <w:rFonts w:ascii="Calibri" w:hAnsi="Calibri" w:cs="Calibri"/>
        </w:rPr>
        <w:t>znení</w:t>
      </w:r>
      <w:proofErr w:type="spellEnd"/>
      <w:r w:rsidR="004C1706" w:rsidRPr="1B8ECB4E">
        <w:rPr>
          <w:rFonts w:ascii="Calibri" w:hAnsi="Calibri" w:cs="Calibri"/>
        </w:rPr>
        <w:t xml:space="preserve"> </w:t>
      </w:r>
      <w:proofErr w:type="spellStart"/>
      <w:r w:rsidR="004C1706" w:rsidRPr="1B8ECB4E">
        <w:rPr>
          <w:rFonts w:ascii="Calibri" w:hAnsi="Calibri" w:cs="Calibri"/>
        </w:rPr>
        <w:t>neskorších</w:t>
      </w:r>
      <w:proofErr w:type="spellEnd"/>
      <w:r w:rsidR="004C1706" w:rsidRPr="1B8ECB4E">
        <w:rPr>
          <w:rFonts w:ascii="Calibri" w:hAnsi="Calibri" w:cs="Calibri"/>
        </w:rPr>
        <w:t xml:space="preserve"> </w:t>
      </w:r>
      <w:proofErr w:type="spellStart"/>
      <w:r w:rsidR="004C1706" w:rsidRPr="1B8ECB4E">
        <w:rPr>
          <w:rFonts w:ascii="Calibri" w:hAnsi="Calibri" w:cs="Calibri"/>
        </w:rPr>
        <w:t>predpisov</w:t>
      </w:r>
      <w:proofErr w:type="spellEnd"/>
      <w:r w:rsidR="004C1706" w:rsidRPr="1B8ECB4E">
        <w:rPr>
          <w:rFonts w:ascii="Calibri" w:hAnsi="Calibri" w:cs="Calibri"/>
        </w:rPr>
        <w:t>, t. j.</w:t>
      </w:r>
      <w:r w:rsidR="00205BFA" w:rsidRPr="1B8ECB4E">
        <w:rPr>
          <w:rFonts w:ascii="Calibri" w:hAnsi="Calibri" w:cs="Calibri"/>
        </w:rPr>
        <w:t xml:space="preserve"> </w:t>
      </w:r>
      <w:r w:rsidRPr="1B8ECB4E">
        <w:rPr>
          <w:rFonts w:ascii="Calibri" w:hAnsi="Calibri" w:cs="Calibri"/>
          <w:lang w:eastAsia="de-DE"/>
        </w:rPr>
        <w:t>v </w:t>
      </w:r>
      <w:proofErr w:type="spellStart"/>
      <w:r w:rsidRPr="1B8ECB4E">
        <w:rPr>
          <w:rFonts w:ascii="Calibri" w:hAnsi="Calibri" w:cs="Calibri"/>
          <w:lang w:eastAsia="de-DE"/>
        </w:rPr>
        <w:t>znení</w:t>
      </w:r>
      <w:proofErr w:type="spellEnd"/>
      <w:r w:rsidRPr="1B8ECB4E">
        <w:rPr>
          <w:rFonts w:ascii="Calibri" w:hAnsi="Calibri" w:cs="Calibri"/>
          <w:lang w:eastAsia="de-DE"/>
        </w:rPr>
        <w:t xml:space="preserve"> </w:t>
      </w:r>
      <w:proofErr w:type="spellStart"/>
      <w:r w:rsidRPr="1B8ECB4E">
        <w:rPr>
          <w:rFonts w:ascii="Calibri" w:hAnsi="Calibri" w:cs="Calibri"/>
          <w:lang w:eastAsia="de-DE"/>
        </w:rPr>
        <w:t>platnom</w:t>
      </w:r>
      <w:proofErr w:type="spellEnd"/>
      <w:r w:rsidRPr="1B8ECB4E">
        <w:rPr>
          <w:rFonts w:ascii="Calibri" w:hAnsi="Calibri" w:cs="Calibri"/>
          <w:lang w:eastAsia="de-DE"/>
        </w:rPr>
        <w:t xml:space="preserve"> a </w:t>
      </w:r>
      <w:proofErr w:type="spellStart"/>
      <w:r w:rsidRPr="1B8ECB4E">
        <w:rPr>
          <w:rFonts w:ascii="Calibri" w:hAnsi="Calibri" w:cs="Calibri"/>
          <w:lang w:eastAsia="de-DE"/>
        </w:rPr>
        <w:t>účinnom</w:t>
      </w:r>
      <w:proofErr w:type="spellEnd"/>
      <w:r w:rsidRPr="1B8ECB4E">
        <w:rPr>
          <w:rFonts w:ascii="Calibri" w:hAnsi="Calibri" w:cs="Calibri"/>
          <w:lang w:eastAsia="de-DE"/>
        </w:rPr>
        <w:t xml:space="preserve"> v </w:t>
      </w:r>
      <w:proofErr w:type="spellStart"/>
      <w:r w:rsidRPr="1B8ECB4E">
        <w:rPr>
          <w:rFonts w:ascii="Calibri" w:hAnsi="Calibri" w:cs="Calibri"/>
          <w:lang w:eastAsia="de-DE"/>
        </w:rPr>
        <w:t>čase</w:t>
      </w:r>
      <w:proofErr w:type="spellEnd"/>
      <w:r w:rsidRPr="1B8ECB4E">
        <w:rPr>
          <w:rFonts w:ascii="Calibri" w:hAnsi="Calibri" w:cs="Calibri"/>
          <w:lang w:eastAsia="de-DE"/>
        </w:rPr>
        <w:t xml:space="preserve"> </w:t>
      </w:r>
      <w:proofErr w:type="spellStart"/>
      <w:r w:rsidRPr="1B8ECB4E">
        <w:rPr>
          <w:rFonts w:ascii="Calibri" w:hAnsi="Calibri" w:cs="Calibri"/>
          <w:lang w:eastAsia="de-DE"/>
        </w:rPr>
        <w:t>uskutočnenia</w:t>
      </w:r>
      <w:proofErr w:type="spellEnd"/>
      <w:r w:rsidRPr="1B8ECB4E">
        <w:rPr>
          <w:rFonts w:ascii="Calibri" w:hAnsi="Calibri" w:cs="Calibri"/>
          <w:lang w:eastAsia="de-DE"/>
        </w:rPr>
        <w:t xml:space="preserve"> </w:t>
      </w:r>
      <w:proofErr w:type="spellStart"/>
      <w:r w:rsidRPr="1B8ECB4E">
        <w:rPr>
          <w:rFonts w:ascii="Calibri" w:hAnsi="Calibri" w:cs="Calibri"/>
          <w:lang w:eastAsia="de-DE"/>
        </w:rPr>
        <w:t>zdaniteľného</w:t>
      </w:r>
      <w:proofErr w:type="spellEnd"/>
      <w:r w:rsidRPr="1B8ECB4E">
        <w:rPr>
          <w:rFonts w:ascii="Calibri" w:hAnsi="Calibri" w:cs="Calibri"/>
          <w:lang w:eastAsia="de-DE"/>
        </w:rPr>
        <w:t xml:space="preserve"> </w:t>
      </w:r>
      <w:proofErr w:type="spellStart"/>
      <w:r w:rsidRPr="1B8ECB4E">
        <w:rPr>
          <w:rFonts w:ascii="Calibri" w:hAnsi="Calibri" w:cs="Calibri"/>
          <w:lang w:eastAsia="de-DE"/>
        </w:rPr>
        <w:t>plnenia</w:t>
      </w:r>
      <w:proofErr w:type="spellEnd"/>
      <w:r w:rsidRPr="1B8ECB4E">
        <w:rPr>
          <w:rFonts w:ascii="Calibri" w:hAnsi="Calibri" w:cs="Calibri"/>
          <w:lang w:eastAsia="de-DE"/>
        </w:rPr>
        <w:t xml:space="preserve"> (</w:t>
      </w:r>
      <w:proofErr w:type="spellStart"/>
      <w:r w:rsidRPr="1B8ECB4E">
        <w:rPr>
          <w:rFonts w:ascii="Calibri" w:hAnsi="Calibri" w:cs="Calibri"/>
          <w:lang w:eastAsia="de-DE"/>
        </w:rPr>
        <w:t>ďalej</w:t>
      </w:r>
      <w:proofErr w:type="spellEnd"/>
      <w:r w:rsidRPr="1B8ECB4E">
        <w:rPr>
          <w:rFonts w:ascii="Calibri" w:hAnsi="Calibri" w:cs="Calibri"/>
          <w:lang w:eastAsia="de-DE"/>
        </w:rPr>
        <w:t xml:space="preserve"> </w:t>
      </w:r>
      <w:proofErr w:type="spellStart"/>
      <w:r w:rsidRPr="1B8ECB4E">
        <w:rPr>
          <w:rFonts w:ascii="Calibri" w:hAnsi="Calibri" w:cs="Calibri"/>
          <w:lang w:eastAsia="de-DE"/>
        </w:rPr>
        <w:t>ako</w:t>
      </w:r>
      <w:proofErr w:type="spellEnd"/>
      <w:r w:rsidRPr="1B8ECB4E">
        <w:rPr>
          <w:rFonts w:ascii="Calibri" w:hAnsi="Calibri" w:cs="Calibri"/>
          <w:lang w:eastAsia="de-DE"/>
        </w:rPr>
        <w:t xml:space="preserve"> „</w:t>
      </w:r>
      <w:proofErr w:type="spellStart"/>
      <w:r w:rsidRPr="1B8ECB4E">
        <w:rPr>
          <w:rFonts w:ascii="Calibri" w:hAnsi="Calibri" w:cs="Calibri"/>
          <w:b/>
          <w:bCs/>
          <w:lang w:eastAsia="de-DE"/>
        </w:rPr>
        <w:t>Zákon</w:t>
      </w:r>
      <w:proofErr w:type="spellEnd"/>
      <w:r w:rsidRPr="1B8ECB4E">
        <w:rPr>
          <w:rFonts w:ascii="Calibri" w:hAnsi="Calibri" w:cs="Calibri"/>
          <w:b/>
          <w:bCs/>
          <w:lang w:eastAsia="de-DE"/>
        </w:rPr>
        <w:t xml:space="preserve"> o </w:t>
      </w:r>
      <w:proofErr w:type="spellStart"/>
      <w:r w:rsidRPr="1B8ECB4E">
        <w:rPr>
          <w:rFonts w:ascii="Calibri" w:hAnsi="Calibri" w:cs="Calibri"/>
          <w:b/>
          <w:bCs/>
          <w:lang w:eastAsia="de-DE"/>
        </w:rPr>
        <w:t>spotrebnej</w:t>
      </w:r>
      <w:proofErr w:type="spellEnd"/>
      <w:r w:rsidRPr="1B8ECB4E">
        <w:rPr>
          <w:rFonts w:ascii="Calibri" w:hAnsi="Calibri" w:cs="Calibri"/>
          <w:b/>
          <w:bCs/>
          <w:lang w:eastAsia="de-DE"/>
        </w:rPr>
        <w:t xml:space="preserve"> </w:t>
      </w:r>
      <w:proofErr w:type="spellStart"/>
      <w:r w:rsidRPr="1B8ECB4E">
        <w:rPr>
          <w:rFonts w:ascii="Calibri" w:hAnsi="Calibri" w:cs="Calibri"/>
          <w:b/>
          <w:bCs/>
          <w:lang w:eastAsia="de-DE"/>
        </w:rPr>
        <w:t>dani</w:t>
      </w:r>
      <w:proofErr w:type="spellEnd"/>
      <w:r w:rsidRPr="1B8ECB4E">
        <w:rPr>
          <w:rFonts w:ascii="Calibri" w:hAnsi="Calibri" w:cs="Calibri"/>
          <w:lang w:eastAsia="de-DE"/>
        </w:rPr>
        <w:t>“)</w:t>
      </w:r>
      <w:r w:rsidR="00976AED" w:rsidRPr="1B8ECB4E">
        <w:rPr>
          <w:rFonts w:ascii="Calibri" w:hAnsi="Calibri" w:cs="Calibri"/>
          <w:lang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6"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6"/>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7"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7"/>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24055A3" w:rsidR="0046404E" w:rsidRPr="00D5483B" w:rsidRDefault="00EB1CF5" w:rsidP="0046404E">
      <w:pPr>
        <w:pStyle w:val="Odsekzoznamu"/>
        <w:widowControl/>
        <w:numPr>
          <w:ilvl w:val="2"/>
          <w:numId w:val="8"/>
        </w:numPr>
        <w:autoSpaceDE/>
        <w:autoSpaceDN/>
        <w:ind w:left="1701" w:hanging="992"/>
        <w:contextualSpacing/>
        <w:jc w:val="both"/>
        <w:rPr>
          <w:rFonts w:ascii="Calibri" w:hAnsi="Calibri" w:cs="Calibri"/>
          <w:lang w:val="sk-SK" w:eastAsia="de-DE"/>
        </w:rPr>
      </w:pPr>
      <w:bookmarkStart w:id="8" w:name="_Ref173321240"/>
      <w:r>
        <w:rPr>
          <w:rFonts w:ascii="Calibri" w:hAnsi="Calibri" w:cs="Calibri"/>
          <w:lang w:val="sk-SK" w:eastAsia="de-DE"/>
        </w:rPr>
        <w:t>Objednávateľ uhradí preddavky najneskôr do desať (10)</w:t>
      </w:r>
      <w:r w:rsidR="00FB309C" w:rsidRPr="4C33BDBB">
        <w:rPr>
          <w:rFonts w:ascii="Calibri" w:hAnsi="Calibri" w:cs="Calibri"/>
          <w:lang w:val="sk-SK" w:eastAsia="de-DE"/>
        </w:rPr>
        <w:t xml:space="preserve"> dní </w:t>
      </w:r>
      <w:r w:rsidR="00810E20" w:rsidRPr="4C33BDBB">
        <w:rPr>
          <w:rFonts w:ascii="Calibri" w:hAnsi="Calibri" w:cs="Calibri"/>
          <w:lang w:val="sk-SK" w:eastAsia="de-DE"/>
        </w:rPr>
        <w:t>daného mesiaca</w:t>
      </w:r>
      <w:r w:rsidR="00FE41C0">
        <w:rPr>
          <w:rFonts w:ascii="Calibri" w:hAnsi="Calibri" w:cs="Calibri"/>
          <w:lang w:val="sk-SK" w:eastAsia="de-DE"/>
        </w:rPr>
        <w:t>.</w:t>
      </w:r>
      <w:bookmarkEnd w:id="8"/>
    </w:p>
    <w:p w14:paraId="4CE23801" w14:textId="4630A68A" w:rsidR="0046404E" w:rsidRPr="00F03F4E" w:rsidRDefault="0046404E" w:rsidP="00F03F4E">
      <w:pPr>
        <w:pStyle w:val="Odsekzoznamu"/>
        <w:widowControl/>
        <w:numPr>
          <w:ilvl w:val="2"/>
          <w:numId w:val="8"/>
        </w:numPr>
        <w:autoSpaceDE/>
        <w:autoSpaceDN/>
        <w:ind w:left="1701" w:hanging="992"/>
        <w:contextualSpacing/>
        <w:jc w:val="both"/>
        <w:rPr>
          <w:rFonts w:ascii="Calibri" w:hAnsi="Calibri" w:cs="Calibri"/>
          <w:lang w:val="sk-SK" w:eastAsia="de-DE"/>
        </w:rPr>
      </w:pPr>
      <w:r w:rsidRPr="00D5483B">
        <w:rPr>
          <w:rFonts w:ascii="Calibri" w:hAnsi="Calibri" w:cs="Calibri"/>
          <w:szCs w:val="20"/>
          <w:lang w:val="sk-SK" w:eastAsia="de-DE"/>
        </w:rPr>
        <w:t xml:space="preserve">Lehota pre </w:t>
      </w:r>
      <w:r w:rsidR="007B1181" w:rsidRPr="00666A2D">
        <w:rPr>
          <w:rFonts w:ascii="Calibri" w:hAnsi="Calibri" w:cs="Calibri"/>
          <w:color w:val="FF0000"/>
          <w:szCs w:val="20"/>
          <w:lang w:val="sk-SK" w:eastAsia="de-DE"/>
        </w:rPr>
        <w:t>vystavenie</w:t>
      </w:r>
      <w:r w:rsidR="007B1181" w:rsidRPr="00D5483B">
        <w:rPr>
          <w:rFonts w:ascii="Calibri" w:hAnsi="Calibri" w:cs="Calibri"/>
          <w:szCs w:val="20"/>
          <w:lang w:val="sk-SK" w:eastAsia="de-DE"/>
        </w:rPr>
        <w:t xml:space="preserve"> </w:t>
      </w:r>
      <w:r w:rsidR="00A247AF">
        <w:rPr>
          <w:rFonts w:ascii="Calibri" w:hAnsi="Calibri" w:cs="Calibri"/>
          <w:szCs w:val="20"/>
          <w:lang w:val="sk-SK" w:eastAsia="de-DE"/>
        </w:rPr>
        <w:t xml:space="preserve">zúčtovacích </w:t>
      </w:r>
      <w:r w:rsidRPr="00D5483B">
        <w:rPr>
          <w:rFonts w:ascii="Calibri" w:hAnsi="Calibri" w:cs="Calibri"/>
          <w:szCs w:val="20"/>
          <w:lang w:val="sk-SK" w:eastAsia="de-DE"/>
        </w:rPr>
        <w:t xml:space="preserve">faktúr je </w:t>
      </w:r>
      <w:r w:rsidR="00E91B0F">
        <w:rPr>
          <w:rFonts w:ascii="Calibri" w:hAnsi="Calibri" w:cs="Calibri"/>
          <w:szCs w:val="20"/>
          <w:lang w:val="sk-SK" w:eastAsia="de-DE"/>
        </w:rPr>
        <w:t>pä</w:t>
      </w:r>
      <w:r w:rsidR="003B0E7A">
        <w:rPr>
          <w:rFonts w:ascii="Calibri" w:hAnsi="Calibri" w:cs="Calibri"/>
          <w:szCs w:val="20"/>
          <w:lang w:val="sk-SK" w:eastAsia="de-DE"/>
        </w:rPr>
        <w:t>tnásť</w:t>
      </w:r>
      <w:r w:rsidR="00E91B0F" w:rsidRPr="00D5483B">
        <w:rPr>
          <w:rFonts w:ascii="Calibri" w:hAnsi="Calibri" w:cs="Calibri"/>
          <w:szCs w:val="20"/>
          <w:lang w:val="sk-SK" w:eastAsia="de-DE"/>
        </w:rPr>
        <w:t xml:space="preserve"> </w:t>
      </w:r>
      <w:r w:rsidR="00600958" w:rsidRPr="00D5483B">
        <w:rPr>
          <w:rFonts w:ascii="Calibri" w:hAnsi="Calibri" w:cs="Calibri"/>
          <w:szCs w:val="20"/>
          <w:lang w:val="sk-SK" w:eastAsia="de-DE"/>
        </w:rPr>
        <w:t>(</w:t>
      </w:r>
      <w:r w:rsidR="003B0E7A">
        <w:rPr>
          <w:rFonts w:ascii="Calibri" w:hAnsi="Calibri" w:cs="Calibri"/>
          <w:szCs w:val="20"/>
          <w:lang w:val="sk-SK" w:eastAsia="de-DE"/>
        </w:rPr>
        <w:t>1</w:t>
      </w:r>
      <w:r w:rsidR="00600958" w:rsidRPr="00D5483B">
        <w:rPr>
          <w:rFonts w:ascii="Calibri" w:hAnsi="Calibri" w:cs="Calibri"/>
          <w:szCs w:val="20"/>
          <w:lang w:val="sk-SK" w:eastAsia="de-DE"/>
        </w:rPr>
        <w:t>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r w:rsidR="001A428B" w:rsidRPr="001A428B">
        <w:rPr>
          <w:rFonts w:ascii="Calibri" w:hAnsi="Calibri" w:cs="Calibri"/>
          <w:lang w:val="sk-SK" w:eastAsia="de-DE"/>
        </w:rPr>
        <w:t xml:space="preserve"> </w:t>
      </w:r>
      <w:r w:rsidR="001A428B" w:rsidRPr="4C33BDBB">
        <w:rPr>
          <w:rFonts w:ascii="Calibri" w:hAnsi="Calibri" w:cs="Calibri"/>
          <w:lang w:val="sk-SK" w:eastAsia="de-DE"/>
        </w:rPr>
        <w:t>Lehota splatnosti faktúr</w:t>
      </w:r>
      <w:r w:rsidR="003D43BA">
        <w:rPr>
          <w:rFonts w:ascii="Calibri" w:hAnsi="Calibri" w:cs="Calibri"/>
          <w:lang w:val="sk-SK" w:eastAsia="de-DE"/>
        </w:rPr>
        <w:t xml:space="preserve"> </w:t>
      </w:r>
      <w:r w:rsidR="001A428B" w:rsidRPr="4C33BDBB">
        <w:rPr>
          <w:rFonts w:ascii="Calibri" w:hAnsi="Calibri" w:cs="Calibri"/>
          <w:lang w:val="sk-SK" w:eastAsia="de-DE"/>
        </w:rPr>
        <w:t xml:space="preserve">je </w:t>
      </w:r>
      <w:r w:rsidR="007B1181" w:rsidRPr="00666A2D">
        <w:rPr>
          <w:rFonts w:ascii="Calibri" w:hAnsi="Calibri" w:cs="Calibri"/>
          <w:color w:val="FF0000"/>
          <w:lang w:val="sk-SK" w:eastAsia="de-DE"/>
        </w:rPr>
        <w:t xml:space="preserve">štrnásť </w:t>
      </w:r>
      <w:r w:rsidR="001A428B" w:rsidRPr="00666A2D">
        <w:rPr>
          <w:rFonts w:ascii="Calibri" w:hAnsi="Calibri" w:cs="Calibri"/>
          <w:color w:val="FF0000"/>
          <w:lang w:val="sk-SK" w:eastAsia="de-DE"/>
        </w:rPr>
        <w:t>(</w:t>
      </w:r>
      <w:r w:rsidR="007B1181" w:rsidRPr="00666A2D">
        <w:rPr>
          <w:rFonts w:ascii="Calibri" w:hAnsi="Calibri" w:cs="Calibri"/>
          <w:color w:val="FF0000"/>
          <w:lang w:val="sk-SK" w:eastAsia="de-DE"/>
        </w:rPr>
        <w:t>14</w:t>
      </w:r>
      <w:r w:rsidR="001A428B" w:rsidRPr="00666A2D">
        <w:rPr>
          <w:rFonts w:ascii="Calibri" w:hAnsi="Calibri" w:cs="Calibri"/>
          <w:color w:val="FF0000"/>
          <w:lang w:val="sk-SK" w:eastAsia="de-DE"/>
        </w:rPr>
        <w:t xml:space="preserve">) </w:t>
      </w:r>
      <w:r w:rsidR="001A428B" w:rsidRPr="4C33BDBB">
        <w:rPr>
          <w:rFonts w:ascii="Calibri" w:hAnsi="Calibri" w:cs="Calibri"/>
          <w:lang w:val="sk-SK" w:eastAsia="de-DE"/>
        </w:rPr>
        <w:t xml:space="preserve">dní odo dňa </w:t>
      </w:r>
      <w:r w:rsidR="007B1181" w:rsidRPr="00666A2D">
        <w:rPr>
          <w:rFonts w:ascii="Calibri" w:hAnsi="Calibri" w:cs="Calibri"/>
          <w:color w:val="FF0000"/>
          <w:lang w:val="sk-SK" w:eastAsia="de-DE"/>
        </w:rPr>
        <w:t>vystavenia</w:t>
      </w:r>
      <w:r w:rsidR="007B1181" w:rsidRPr="4C33BDBB">
        <w:rPr>
          <w:rFonts w:ascii="Calibri" w:hAnsi="Calibri" w:cs="Calibri"/>
          <w:lang w:val="sk-SK" w:eastAsia="de-DE"/>
        </w:rPr>
        <w:t xml:space="preserve"> </w:t>
      </w:r>
      <w:r w:rsidR="001A428B" w:rsidRPr="4C33BDBB">
        <w:rPr>
          <w:rFonts w:ascii="Calibri" w:hAnsi="Calibri" w:cs="Calibri"/>
          <w:lang w:val="sk-SK" w:eastAsia="de-DE"/>
        </w:rPr>
        <w:t xml:space="preserve">faktúry Objednávateľovi. </w:t>
      </w:r>
      <w:r w:rsidR="00F03F4E">
        <w:rPr>
          <w:rFonts w:ascii="Calibri" w:hAnsi="Calibri" w:cs="Calibri"/>
          <w:lang w:val="sk-SK" w:eastAsia="de-DE"/>
        </w:rPr>
        <w:t xml:space="preserve">Faktúry sa doručujú emailom na adresu: </w:t>
      </w:r>
      <w:r w:rsidR="005D69FC" w:rsidRPr="00D5483B">
        <w:rPr>
          <w:rFonts w:ascii="Calibri" w:eastAsia="Arial Unicode MS" w:hAnsi="Calibri" w:cs="Calibri"/>
          <w:szCs w:val="20"/>
          <w:highlight w:val="yellow"/>
          <w:lang w:val="sk-SK"/>
        </w:rPr>
        <w:t>[•]</w:t>
      </w:r>
      <w:r w:rsidR="00F03F4E">
        <w:rPr>
          <w:rFonts w:ascii="Calibri" w:hAnsi="Calibri" w:cs="Calibri"/>
          <w:lang w:val="sk-SK" w:eastAsia="de-DE"/>
        </w:rPr>
        <w:t>.</w:t>
      </w:r>
    </w:p>
    <w:p w14:paraId="1D8B5402" w14:textId="336E4DD1" w:rsidR="0046404E" w:rsidRPr="00666A2D" w:rsidRDefault="0046404E" w:rsidP="0046404E">
      <w:pPr>
        <w:pStyle w:val="Odsekzoznamu"/>
        <w:widowControl/>
        <w:numPr>
          <w:ilvl w:val="2"/>
          <w:numId w:val="8"/>
        </w:numPr>
        <w:autoSpaceDE/>
        <w:autoSpaceDN/>
        <w:ind w:left="1701" w:hanging="992"/>
        <w:contextualSpacing/>
        <w:jc w:val="both"/>
        <w:rPr>
          <w:rFonts w:ascii="Calibri" w:hAnsi="Calibri" w:cs="Calibri"/>
          <w:color w:val="FF0000"/>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w:t>
      </w:r>
      <w:r w:rsidR="00C7736E">
        <w:rPr>
          <w:rFonts w:ascii="Calibri" w:hAnsi="Calibri" w:cs="Calibri"/>
          <w:szCs w:val="20"/>
          <w:lang w:val="sk-SK" w:eastAsia="de-DE"/>
        </w:rPr>
        <w:t>štrnásť</w:t>
      </w:r>
      <w:r w:rsidR="001008DA" w:rsidRPr="00D5483B">
        <w:rPr>
          <w:rFonts w:ascii="Calibri" w:hAnsi="Calibri" w:cs="Calibri"/>
          <w:szCs w:val="20"/>
          <w:lang w:val="sk-SK" w:eastAsia="de-DE"/>
        </w:rPr>
        <w:t xml:space="preserve"> </w:t>
      </w:r>
      <w:r w:rsidRPr="00D5483B">
        <w:rPr>
          <w:rFonts w:ascii="Calibri" w:hAnsi="Calibri" w:cs="Calibri"/>
          <w:szCs w:val="20"/>
          <w:lang w:val="sk-SK" w:eastAsia="de-DE"/>
        </w:rPr>
        <w:t>(</w:t>
      </w:r>
      <w:r w:rsidR="00C7736E">
        <w:rPr>
          <w:rFonts w:ascii="Calibri" w:hAnsi="Calibri" w:cs="Calibri"/>
          <w:szCs w:val="20"/>
          <w:lang w:val="sk-SK" w:eastAsia="de-DE"/>
        </w:rPr>
        <w:t>14</w:t>
      </w:r>
      <w:r w:rsidRPr="00D5483B">
        <w:rPr>
          <w:rFonts w:ascii="Calibri" w:hAnsi="Calibri" w:cs="Calibri"/>
          <w:szCs w:val="20"/>
          <w:lang w:val="sk-SK" w:eastAsia="de-DE"/>
        </w:rPr>
        <w:t xml:space="preserve">) kalendárnych dní odo dňa jej opätovného </w:t>
      </w:r>
      <w:r w:rsidR="00C7736E" w:rsidRPr="00666A2D">
        <w:rPr>
          <w:rFonts w:ascii="Calibri" w:hAnsi="Calibri" w:cs="Calibri"/>
          <w:color w:val="FF0000"/>
          <w:szCs w:val="20"/>
          <w:lang w:val="sk-SK" w:eastAsia="de-DE"/>
        </w:rPr>
        <w:t>vystavenia</w:t>
      </w:r>
      <w:r w:rsidRPr="00666A2D">
        <w:rPr>
          <w:rFonts w:ascii="Calibri" w:hAnsi="Calibri" w:cs="Calibri"/>
          <w:color w:val="FF0000"/>
          <w:szCs w:val="20"/>
          <w:lang w:val="sk-SK" w:eastAsia="de-DE"/>
        </w:rPr>
        <w:t>.</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64123388"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D5483B">
        <w:rPr>
          <w:rFonts w:ascii="Calibri" w:hAnsi="Calibri" w:cs="Calibri"/>
          <w:szCs w:val="20"/>
          <w:highlight w:val="lightGray"/>
          <w:lang w:val="sk-SK" w:eastAsia="de-DE"/>
        </w:rPr>
        <w:t>4.3.5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37639523"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791EA7B9" w14:textId="77777777" w:rsidR="0056519D" w:rsidRPr="00724236" w:rsidRDefault="0056519D" w:rsidP="00724236">
      <w:pPr>
        <w:pStyle w:val="Odsekzoznamu"/>
        <w:rPr>
          <w:rFonts w:ascii="Calibri" w:hAnsi="Calibri" w:cs="Calibri"/>
          <w:szCs w:val="20"/>
          <w:lang w:val="sk-SK" w:eastAsia="de-DE"/>
        </w:rPr>
      </w:pPr>
    </w:p>
    <w:p w14:paraId="6DC6A7C2" w14:textId="6178E7AF" w:rsidR="0056519D" w:rsidRPr="00894D84" w:rsidRDefault="00D14B91" w:rsidP="008C222B">
      <w:pPr>
        <w:pStyle w:val="Odsekzoznamu"/>
        <w:widowControl/>
        <w:numPr>
          <w:ilvl w:val="1"/>
          <w:numId w:val="9"/>
        </w:numPr>
        <w:autoSpaceDE/>
        <w:autoSpaceDN/>
        <w:ind w:left="709" w:hanging="709"/>
        <w:contextualSpacing/>
        <w:jc w:val="both"/>
        <w:rPr>
          <w:rFonts w:ascii="Calibri" w:hAnsi="Calibri" w:cs="Calibri"/>
          <w:color w:val="FF0000"/>
          <w:szCs w:val="20"/>
          <w:lang w:val="sk-SK" w:eastAsia="de-DE"/>
        </w:rPr>
      </w:pPr>
      <w:r w:rsidRPr="00894D84">
        <w:rPr>
          <w:rFonts w:ascii="Calibri" w:hAnsi="Calibri" w:cs="Calibri"/>
          <w:color w:val="FF0000"/>
          <w:szCs w:val="20"/>
          <w:lang w:val="sk-SK" w:eastAsia="de-DE"/>
        </w:rPr>
        <w:t>Právo na náhradu škody nevzniká za množstvo nedodané pri oprávnenom obmedzení alebo prerušení dodávok elektriny zo strany dodávateľa (napr. vyhlásenie stavu núdze, obmedzenie alebo prerušenie dodávok z dôvodu porušenia zmluvy odberateľom, údržby a iné). Zmluvné strany sú povinné vyvinúť maximálne úsilie na predchádzanie vzniku škôd a zníženie ich rozsahu, ako aj poskytnúť si navzájom súčinnosť potrebnú na preverenie okolností vzniku škody a jej výšky. 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vojna, teroristická akcia, štrajk postihujúci možnosť plnenia povinnosti zmluvnej strany.</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27E0C4F3" w14:textId="22F854EB" w:rsidR="008C222B" w:rsidRPr="00C46300" w:rsidRDefault="008C222B" w:rsidP="00C46300">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5238EEFF" w14:textId="77777777" w:rsidR="00486DEE" w:rsidRDefault="00486DEE" w:rsidP="008C222B">
      <w:pPr>
        <w:pStyle w:val="Odsekzoznamu"/>
        <w:ind w:left="709"/>
        <w:rPr>
          <w:rFonts w:ascii="Calibri" w:hAnsi="Calibri" w:cs="Calibri"/>
          <w:szCs w:val="20"/>
          <w:lang w:val="sk-SK"/>
        </w:rPr>
      </w:pPr>
    </w:p>
    <w:p w14:paraId="3A40DED0" w14:textId="77777777" w:rsidR="00486DEE" w:rsidRPr="00D5483B" w:rsidRDefault="00486DEE" w:rsidP="008C222B">
      <w:pPr>
        <w:pStyle w:val="Odsekzoznamu"/>
        <w:ind w:left="709"/>
        <w:rPr>
          <w:rFonts w:ascii="Calibri" w:hAnsi="Calibri" w:cs="Calibri"/>
          <w:szCs w:val="20"/>
          <w:lang w:val="sk-SK"/>
        </w:rPr>
      </w:pP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371E94CD" w14:textId="3D61E3C5" w:rsidR="008C222B" w:rsidRPr="00486DEE" w:rsidRDefault="008C222B" w:rsidP="00486DEE">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4DBF19AA" w14:textId="77777777" w:rsidR="008C222B" w:rsidRDefault="008C222B" w:rsidP="00486DEE">
      <w:pPr>
        <w:rPr>
          <w:rFonts w:ascii="Calibri" w:hAnsi="Calibri" w:cs="Calibri"/>
          <w:szCs w:val="20"/>
          <w:lang w:val="sk-SK"/>
        </w:rPr>
      </w:pPr>
    </w:p>
    <w:p w14:paraId="0DD24A1E" w14:textId="77777777" w:rsidR="005D69FC" w:rsidRPr="00486DEE" w:rsidRDefault="005D69FC" w:rsidP="00486DEE">
      <w:pPr>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52218EA3"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w:t>
      </w:r>
      <w:r w:rsidR="00EF2051" w:rsidRPr="00D5483B">
        <w:rPr>
          <w:rFonts w:ascii="Calibri" w:hAnsi="Calibri" w:cs="Calibri"/>
          <w:szCs w:val="20"/>
          <w:lang w:val="sk-SK"/>
        </w:rPr>
        <w:t>202</w:t>
      </w:r>
      <w:r w:rsidR="00EF2051">
        <w:rPr>
          <w:rFonts w:ascii="Calibri" w:hAnsi="Calibri" w:cs="Calibri"/>
          <w:szCs w:val="20"/>
          <w:lang w:val="sk-SK"/>
        </w:rPr>
        <w:t>5</w:t>
      </w:r>
      <w:r w:rsidR="00EF2051"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w:t>
      </w:r>
      <w:r w:rsidR="00EF2051" w:rsidRPr="00D5483B">
        <w:rPr>
          <w:rFonts w:ascii="Calibri" w:hAnsi="Calibri" w:cs="Calibri"/>
          <w:szCs w:val="20"/>
          <w:lang w:val="sk-SK"/>
        </w:rPr>
        <w:t>202</w:t>
      </w:r>
      <w:r w:rsidR="00EF2051">
        <w:rPr>
          <w:rFonts w:ascii="Calibri" w:hAnsi="Calibri" w:cs="Calibri"/>
          <w:szCs w:val="20"/>
          <w:lang w:val="sk-SK"/>
        </w:rPr>
        <w:t>5</w:t>
      </w:r>
      <w:r w:rsidR="00EF2051" w:rsidRPr="00D5483B">
        <w:rPr>
          <w:rFonts w:ascii="Calibri" w:hAnsi="Calibri" w:cs="Calibri"/>
          <w:szCs w:val="20"/>
          <w:lang w:val="sk-SK"/>
        </w:rPr>
        <w:t xml:space="preserve"> </w:t>
      </w:r>
      <w:r w:rsidR="00210772" w:rsidRPr="00D5483B">
        <w:rPr>
          <w:rFonts w:ascii="Calibri" w:hAnsi="Calibri" w:cs="Calibri"/>
          <w:szCs w:val="20"/>
          <w:lang w:val="sk-SK"/>
        </w:rPr>
        <w:t>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055CC8D3" w14:textId="410A364E" w:rsidR="008C222B" w:rsidRPr="00486DEE" w:rsidRDefault="008C222B" w:rsidP="00486DEE">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297BAA57" w14:textId="77777777" w:rsidR="008C222B" w:rsidRPr="00D5483B" w:rsidRDefault="008C222B" w:rsidP="008C222B">
      <w:pPr>
        <w:jc w:val="both"/>
        <w:rPr>
          <w:rFonts w:ascii="Calibri" w:hAnsi="Calibri" w:cs="Calibri"/>
          <w:szCs w:val="20"/>
          <w:lang w:val="sk-SK"/>
        </w:rPr>
      </w:pPr>
    </w:p>
    <w:p w14:paraId="7CD81A5B" w14:textId="5D57B59E" w:rsidR="008C222B" w:rsidRPr="00486DEE" w:rsidRDefault="008C222B" w:rsidP="00486DEE">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8"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48B7EB2B" w:rsidR="006E2755" w:rsidRPr="00AD630A" w:rsidRDefault="00211424" w:rsidP="006E2755">
      <w:pPr>
        <w:pStyle w:val="Odsekzoznamu"/>
        <w:widowControl/>
        <w:numPr>
          <w:ilvl w:val="1"/>
          <w:numId w:val="11"/>
        </w:numPr>
        <w:autoSpaceDE/>
        <w:autoSpaceDN/>
        <w:ind w:left="709" w:hanging="709"/>
        <w:contextualSpacing/>
        <w:jc w:val="both"/>
        <w:rPr>
          <w:rFonts w:ascii="Calibri" w:hAnsi="Calibri" w:cs="Calibri"/>
          <w:b/>
          <w:color w:val="FF0000"/>
          <w:szCs w:val="20"/>
          <w:lang w:val="sk-SK"/>
        </w:rPr>
      </w:pPr>
      <w:r w:rsidRPr="00AD630A">
        <w:rPr>
          <w:rFonts w:ascii="Calibri" w:hAnsi="Calibri" w:cs="Calibri"/>
          <w:color w:val="FF0000"/>
          <w:szCs w:val="20"/>
          <w:lang w:val="sk-SK"/>
        </w:rPr>
        <w:t>Ak dôjde k odstúpeniu od zmluvy, plnenia poskytnuté podľa tejto zmluvy do okamihu zániku jej trvania si zmluvné strany ponechajú. Odstúpením od zmluvy nezanikajú dojednania zmluvných strán týkajúc sa zodpovednosti za škodu ani právo dodávateľa vyfakturovať odberateľovi dohodnutú zmluvnú cenu za dodávky uskutočnené do nadobudnutia účinkov odstúpenia</w:t>
      </w:r>
      <w:r w:rsidR="006E2755" w:rsidRPr="00AD630A">
        <w:rPr>
          <w:rFonts w:ascii="Calibri" w:hAnsi="Calibri" w:cs="Calibri"/>
          <w:color w:val="FF0000"/>
          <w:szCs w:val="20"/>
          <w:lang w:val="sk-SK"/>
        </w:rPr>
        <w:t>.</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3E9D745C" w14:textId="3B6F95E8" w:rsidR="008C222B" w:rsidRPr="00DD574E" w:rsidRDefault="008C222B" w:rsidP="00DD574E">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42A3FC58" w14:textId="2CA894AE" w:rsidR="008C222B" w:rsidRPr="000B4F25" w:rsidRDefault="008C222B" w:rsidP="000B4F25">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4E501BC7" w14:textId="7FE2F4EE" w:rsidR="008C222B" w:rsidRPr="000B4F25" w:rsidRDefault="008C222B" w:rsidP="000B4F25">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4E402F62" w14:textId="4D27600A" w:rsidR="008C222B" w:rsidRPr="00AA465F" w:rsidRDefault="008C222B" w:rsidP="00AA465F">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3E64ED40" w14:textId="3631C104" w:rsidR="00F35F54" w:rsidRPr="000B4F25" w:rsidRDefault="00F35F54" w:rsidP="00DD574E">
      <w:pPr>
        <w:pStyle w:val="Odsekzoznamu"/>
        <w:widowControl/>
        <w:numPr>
          <w:ilvl w:val="1"/>
          <w:numId w:val="12"/>
        </w:numPr>
        <w:autoSpaceDE/>
        <w:autoSpaceDN/>
        <w:spacing w:before="120"/>
        <w:ind w:left="709" w:hanging="709"/>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5622A60E" w14:textId="58DC567A" w:rsidR="008C222B" w:rsidRPr="000B4F25" w:rsidRDefault="008C222B" w:rsidP="00DD574E">
      <w:pPr>
        <w:pStyle w:val="Odsekzoznamu"/>
        <w:widowControl/>
        <w:numPr>
          <w:ilvl w:val="1"/>
          <w:numId w:val="12"/>
        </w:numPr>
        <w:autoSpaceDE/>
        <w:autoSpaceDN/>
        <w:spacing w:before="120"/>
        <w:ind w:left="709" w:hanging="709"/>
        <w:jc w:val="both"/>
        <w:rPr>
          <w:rFonts w:ascii="Calibri" w:hAnsi="Calibri" w:cs="Calibri"/>
          <w:b/>
          <w:bCs/>
          <w:szCs w:val="20"/>
          <w:lang w:val="sk-SK"/>
        </w:rPr>
      </w:pPr>
      <w:r w:rsidRPr="00D5483B">
        <w:rPr>
          <w:rFonts w:ascii="Calibri" w:hAnsi="Calibri" w:cs="Calibri"/>
          <w:szCs w:val="20"/>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8076D5D" w14:textId="3125F2F6" w:rsidR="008C222B" w:rsidRPr="000B4F25" w:rsidRDefault="008C222B" w:rsidP="00DD574E">
      <w:pPr>
        <w:pStyle w:val="Odsekzoznamu"/>
        <w:widowControl/>
        <w:numPr>
          <w:ilvl w:val="1"/>
          <w:numId w:val="12"/>
        </w:numPr>
        <w:autoSpaceDE/>
        <w:autoSpaceDN/>
        <w:spacing w:before="120"/>
        <w:ind w:left="709" w:hanging="709"/>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0FFB62DA" w14:textId="7E1A9AD7" w:rsidR="008C222B" w:rsidRPr="00D5483B" w:rsidRDefault="008C222B" w:rsidP="00DD574E">
      <w:pPr>
        <w:pStyle w:val="Odsekzoznamu"/>
        <w:widowControl/>
        <w:numPr>
          <w:ilvl w:val="1"/>
          <w:numId w:val="12"/>
        </w:numPr>
        <w:autoSpaceDE/>
        <w:autoSpaceDN/>
        <w:spacing w:before="120"/>
        <w:ind w:left="709" w:hanging="709"/>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7A385A2B" w14:textId="77777777" w:rsidR="008C222B" w:rsidRPr="00DD574E" w:rsidRDefault="008C222B" w:rsidP="00DD574E">
      <w:pP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179FB82" w14:textId="738733AE" w:rsidR="008C222B" w:rsidRPr="00DD574E" w:rsidRDefault="008C222B" w:rsidP="00DD574E">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0FB253D1" w14:textId="2DBB43CA" w:rsidR="008C222B" w:rsidRPr="00D5483B" w:rsidRDefault="008C222B" w:rsidP="00DD574E">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DD574E">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DD574E">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DD574E">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9" w:name="OLE_LINK86"/>
      <w:r w:rsidRPr="00D5483B">
        <w:rPr>
          <w:rFonts w:ascii="Calibri" w:hAnsi="Calibri" w:cs="Calibri"/>
          <w:szCs w:val="20"/>
          <w:lang w:val="sk-SK"/>
        </w:rPr>
        <w:t>;</w:t>
      </w:r>
      <w:bookmarkEnd w:id="9"/>
    </w:p>
    <w:p w14:paraId="6800D11B" w14:textId="103DF076" w:rsidR="0077705E" w:rsidRPr="00D5483B" w:rsidRDefault="008C222B" w:rsidP="00DD574E">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48343A4E" w14:textId="56F37832" w:rsidR="008C222B" w:rsidRDefault="0077705E" w:rsidP="005D69FC">
      <w:pPr>
        <w:pStyle w:val="Odsekzoznamu"/>
        <w:widowControl/>
        <w:tabs>
          <w:tab w:val="left" w:pos="2552"/>
        </w:tabs>
        <w:autoSpaceDE/>
        <w:autoSpaceDN/>
        <w:ind w:left="1418" w:firstLine="0"/>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0105B9B4" w14:textId="77777777" w:rsidR="005D69FC" w:rsidRPr="00D5483B" w:rsidRDefault="005D69FC" w:rsidP="005D69FC">
      <w:pPr>
        <w:pStyle w:val="Odsekzoznamu"/>
        <w:widowControl/>
        <w:tabs>
          <w:tab w:val="left" w:pos="2552"/>
        </w:tabs>
        <w:autoSpaceDE/>
        <w:autoSpaceDN/>
        <w:ind w:left="1418" w:firstLine="0"/>
        <w:contextualSpacing/>
        <w:jc w:val="both"/>
        <w:rPr>
          <w:rFonts w:ascii="Calibri" w:hAnsi="Calibri" w:cs="Calibri"/>
          <w:szCs w:val="20"/>
          <w:lang w:val="sk-SK"/>
        </w:rPr>
      </w:pPr>
    </w:p>
    <w:p w14:paraId="47EA1FC1" w14:textId="769AF93E" w:rsidR="00650B3E" w:rsidRPr="005D69FC" w:rsidRDefault="00650B3E"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w:t>
      </w:r>
      <w:r w:rsidR="00EF2051" w:rsidRPr="00D5483B">
        <w:rPr>
          <w:rFonts w:ascii="Calibri" w:hAnsi="Calibri" w:cs="Calibri"/>
          <w:szCs w:val="20"/>
          <w:lang w:val="sk-SK"/>
        </w:rPr>
        <w:t>202</w:t>
      </w:r>
      <w:r w:rsidR="00EF2051">
        <w:rPr>
          <w:rFonts w:ascii="Calibri" w:hAnsi="Calibri" w:cs="Calibri"/>
          <w:szCs w:val="20"/>
          <w:lang w:val="sk-SK"/>
        </w:rPr>
        <w:t>4</w:t>
      </w:r>
      <w:r w:rsidR="005D69FC">
        <w:rPr>
          <w:rFonts w:ascii="Calibri" w:hAnsi="Calibri" w:cs="Calibri"/>
          <w:szCs w:val="20"/>
          <w:lang w:val="sk-SK"/>
        </w:rPr>
        <w:t>.</w:t>
      </w:r>
    </w:p>
    <w:p w14:paraId="1F472543" w14:textId="0ECD8CEE"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322942C" w14:textId="2E0625ED"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34AA9634" w14:textId="5B13EF28"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3193ADD" w14:textId="5646C1E2"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4DEE1092" w14:textId="5A964F9D"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FA710F8" w14:textId="11283203" w:rsidR="008C222B"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410272F1" w14:textId="52C5ACA2" w:rsidR="006E2755" w:rsidRPr="005D69FC" w:rsidRDefault="008C222B" w:rsidP="005D69FC">
      <w:pPr>
        <w:pStyle w:val="Odsekzoznamu"/>
        <w:widowControl/>
        <w:numPr>
          <w:ilvl w:val="1"/>
          <w:numId w:val="13"/>
        </w:numPr>
        <w:autoSpaceDE/>
        <w:autoSpaceDN/>
        <w:spacing w:before="120"/>
        <w:ind w:left="720" w:hanging="709"/>
        <w:contextualSpacing/>
        <w:jc w:val="both"/>
        <w:rPr>
          <w:rFonts w:ascii="Calibri" w:hAnsi="Calibri" w:cs="Calibri"/>
          <w:szCs w:val="20"/>
          <w:lang w:val="sk-SK"/>
        </w:rPr>
      </w:pPr>
      <w:r w:rsidRPr="00D5483B">
        <w:rPr>
          <w:rFonts w:ascii="Calibri" w:hAnsi="Calibri" w:cs="Calibri"/>
          <w:szCs w:val="20"/>
          <w:lang w:val="sk-SK"/>
        </w:rPr>
        <w:t xml:space="preserve">Táto Zmluva nadobúda platnosť dňom jej podpisu obidvoma Zmluvnými stranami a  účinnosť dňa </w:t>
      </w:r>
      <w:r w:rsidRPr="00206956">
        <w:rPr>
          <w:rFonts w:ascii="Calibri" w:hAnsi="Calibri" w:cs="Calibri"/>
          <w:color w:val="FF0000"/>
          <w:szCs w:val="20"/>
          <w:lang w:val="sk-SK"/>
        </w:rPr>
        <w:t>01.01.</w:t>
      </w:r>
      <w:r w:rsidR="00605EBE" w:rsidRPr="00206956">
        <w:rPr>
          <w:rFonts w:ascii="Calibri" w:hAnsi="Calibri" w:cs="Calibri"/>
          <w:color w:val="FF0000"/>
          <w:szCs w:val="20"/>
          <w:lang w:val="sk-SK"/>
        </w:rPr>
        <w:t>2025</w:t>
      </w:r>
      <w:r w:rsidRPr="00206956">
        <w:rPr>
          <w:rFonts w:ascii="Calibri" w:hAnsi="Calibri" w:cs="Calibri"/>
          <w:color w:val="FF0000"/>
          <w:szCs w:val="20"/>
          <w:lang w:val="sk-SK"/>
        </w:rPr>
        <w:t xml:space="preserve">, </w:t>
      </w:r>
      <w:r w:rsidRPr="00D5483B">
        <w:rPr>
          <w:rFonts w:ascii="Calibri" w:hAnsi="Calibri" w:cs="Calibri"/>
          <w:szCs w:val="20"/>
          <w:lang w:val="sk-SK"/>
        </w:rPr>
        <w:t>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trPr>
          <w:jc w:val="center"/>
        </w:trPr>
        <w:tc>
          <w:tcPr>
            <w:tcW w:w="3375" w:type="dxa"/>
            <w:tcBorders>
              <w:bottom w:val="single" w:sz="4" w:space="0" w:color="auto"/>
            </w:tcBorders>
          </w:tcPr>
          <w:bookmarkEnd w:id="0"/>
          <w:p w14:paraId="30FCA368" w14:textId="26066D38" w:rsidR="006E2755" w:rsidRPr="00D5483B" w:rsidRDefault="006E2755">
            <w:pPr>
              <w:rPr>
                <w:rFonts w:eastAsia="Calibri" w:cs="Calibri"/>
                <w:szCs w:val="20"/>
                <w:lang w:val="sk-SK"/>
              </w:rPr>
            </w:pPr>
            <w:r w:rsidRPr="00D5483B">
              <w:rPr>
                <w:rFonts w:ascii="Calibri" w:eastAsia="Calibri" w:hAnsi="Calibri" w:cs="Calibri"/>
                <w:szCs w:val="20"/>
                <w:lang w:val="sk-SK"/>
              </w:rPr>
              <w:t xml:space="preserve">V </w:t>
            </w:r>
            <w:r w:rsidR="005D69FC">
              <w:rPr>
                <w:rFonts w:ascii="Calibri" w:eastAsia="Calibri" w:hAnsi="Calibri" w:cs="Calibri"/>
                <w:szCs w:val="20"/>
                <w:lang w:val="sk-SK"/>
              </w:rPr>
              <w:t>Pezinku</w:t>
            </w:r>
            <w:r w:rsidRPr="00D5483B">
              <w:rPr>
                <w:rFonts w:ascii="Calibri" w:eastAsia="Calibri" w:hAnsi="Calibri" w:cs="Calibri"/>
                <w:szCs w:val="20"/>
                <w:lang w:val="sk-SK"/>
              </w:rPr>
              <w:t xml:space="preserve"> dňa  ...................</w:t>
            </w:r>
          </w:p>
          <w:p w14:paraId="6715A68B" w14:textId="77777777" w:rsidR="006E2755" w:rsidRPr="00D5483B" w:rsidRDefault="006E2755">
            <w:pPr>
              <w:rPr>
                <w:rFonts w:cs="Calibri"/>
                <w:szCs w:val="20"/>
                <w:lang w:val="sk-SK"/>
              </w:rPr>
            </w:pPr>
          </w:p>
        </w:tc>
        <w:tc>
          <w:tcPr>
            <w:tcW w:w="1298" w:type="dxa"/>
          </w:tcPr>
          <w:p w14:paraId="44A31F10" w14:textId="77777777" w:rsidR="006E2755" w:rsidRPr="00D5483B" w:rsidRDefault="006E2755">
            <w:pPr>
              <w:rPr>
                <w:rFonts w:eastAsia="Calibri" w:cs="Calibri"/>
                <w:szCs w:val="20"/>
                <w:lang w:val="sk-SK"/>
              </w:rPr>
            </w:pPr>
          </w:p>
        </w:tc>
        <w:tc>
          <w:tcPr>
            <w:tcW w:w="3827" w:type="dxa"/>
            <w:tcBorders>
              <w:bottom w:val="single" w:sz="4" w:space="0" w:color="auto"/>
            </w:tcBorders>
          </w:tcPr>
          <w:p w14:paraId="40EB9502" w14:textId="32520158" w:rsidR="006E2755" w:rsidRPr="00D5483B" w:rsidRDefault="006E2755">
            <w:pPr>
              <w:rPr>
                <w:rFonts w:eastAsia="Calibri" w:cs="Calibri"/>
                <w:szCs w:val="20"/>
                <w:lang w:val="sk-SK"/>
              </w:rPr>
            </w:pPr>
            <w:r w:rsidRPr="00D5483B">
              <w:rPr>
                <w:rFonts w:ascii="Calibri" w:eastAsia="Calibri" w:hAnsi="Calibri" w:cs="Calibri"/>
                <w:szCs w:val="20"/>
                <w:lang w:val="sk-SK"/>
              </w:rPr>
              <w:t>V .......................</w:t>
            </w:r>
            <w:r w:rsidR="005D69FC">
              <w:rPr>
                <w:rFonts w:ascii="Calibri" w:eastAsia="Calibri" w:hAnsi="Calibri" w:cs="Calibri"/>
                <w:szCs w:val="20"/>
                <w:lang w:val="sk-SK"/>
              </w:rPr>
              <w:t xml:space="preserve"> </w:t>
            </w:r>
            <w:r w:rsidRPr="00D5483B">
              <w:rPr>
                <w:rFonts w:ascii="Calibri" w:eastAsia="Calibri" w:hAnsi="Calibri" w:cs="Calibri"/>
                <w:szCs w:val="20"/>
                <w:lang w:val="sk-SK"/>
              </w:rPr>
              <w:t>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pPr>
              <w:rPr>
                <w:rFonts w:eastAsia="Calibri" w:cs="Calibri"/>
                <w:szCs w:val="20"/>
                <w:lang w:val="sk-SK"/>
              </w:rPr>
            </w:pPr>
          </w:p>
          <w:p w14:paraId="752FC434" w14:textId="77777777" w:rsidR="006E2755" w:rsidRDefault="006E2755">
            <w:pPr>
              <w:rPr>
                <w:rFonts w:eastAsia="Calibri" w:cs="Calibri"/>
                <w:szCs w:val="20"/>
                <w:lang w:val="sk-SK"/>
              </w:rPr>
            </w:pPr>
          </w:p>
          <w:p w14:paraId="1CC7D86E" w14:textId="77777777" w:rsidR="005D69FC" w:rsidRDefault="005D69FC">
            <w:pPr>
              <w:rPr>
                <w:rFonts w:eastAsia="Calibri" w:cs="Calibri"/>
                <w:szCs w:val="20"/>
                <w:lang w:val="sk-SK"/>
              </w:rPr>
            </w:pPr>
          </w:p>
          <w:p w14:paraId="179D5812" w14:textId="77777777" w:rsidR="005D69FC" w:rsidRDefault="005D69FC">
            <w:pPr>
              <w:rPr>
                <w:rFonts w:eastAsia="Calibri" w:cs="Calibri"/>
                <w:szCs w:val="20"/>
                <w:lang w:val="sk-SK"/>
              </w:rPr>
            </w:pPr>
          </w:p>
          <w:p w14:paraId="163466A7" w14:textId="77777777" w:rsidR="005D69FC" w:rsidRDefault="005D69FC">
            <w:pPr>
              <w:rPr>
                <w:rFonts w:eastAsia="Calibri" w:cs="Calibri"/>
                <w:szCs w:val="20"/>
                <w:lang w:val="sk-SK"/>
              </w:rPr>
            </w:pPr>
          </w:p>
          <w:p w14:paraId="4B7B921A" w14:textId="77777777" w:rsidR="005D69FC" w:rsidRPr="00D5483B" w:rsidRDefault="005D69FC">
            <w:pPr>
              <w:rPr>
                <w:rFonts w:eastAsia="Calibri" w:cs="Calibri"/>
                <w:szCs w:val="20"/>
                <w:lang w:val="sk-SK"/>
              </w:rPr>
            </w:pPr>
          </w:p>
          <w:p w14:paraId="4487028A" w14:textId="77777777" w:rsidR="006E2755" w:rsidRPr="00D5483B" w:rsidRDefault="006E2755">
            <w:pPr>
              <w:rPr>
                <w:rFonts w:cs="Calibri"/>
                <w:szCs w:val="20"/>
                <w:lang w:val="sk-SK"/>
              </w:rPr>
            </w:pPr>
          </w:p>
        </w:tc>
      </w:tr>
      <w:tr w:rsidR="006E2755" w:rsidRPr="00D5483B" w14:paraId="7562C735" w14:textId="77777777">
        <w:trPr>
          <w:jc w:val="center"/>
        </w:trPr>
        <w:tc>
          <w:tcPr>
            <w:tcW w:w="3375" w:type="dxa"/>
            <w:tcBorders>
              <w:top w:val="single" w:sz="4" w:space="0" w:color="auto"/>
            </w:tcBorders>
          </w:tcPr>
          <w:p w14:paraId="69B9758E" w14:textId="77777777" w:rsidR="006E2755" w:rsidRPr="00D5483B" w:rsidRDefault="006E2755">
            <w:pPr>
              <w:rPr>
                <w:rFonts w:eastAsia="Calibri" w:cs="Calibri"/>
                <w:szCs w:val="20"/>
                <w:lang w:val="sk-SK"/>
              </w:rPr>
            </w:pPr>
          </w:p>
          <w:p w14:paraId="0ADFCA4A" w14:textId="77777777" w:rsidR="006E2755" w:rsidRPr="00D5483B" w:rsidRDefault="006E2755">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pPr>
              <w:rPr>
                <w:rFonts w:eastAsia="Calibri" w:cs="Calibri"/>
                <w:szCs w:val="20"/>
                <w:lang w:val="sk-SK"/>
              </w:rPr>
            </w:pPr>
          </w:p>
          <w:p w14:paraId="7DA154FD" w14:textId="77777777" w:rsidR="006E2755" w:rsidRPr="00D5483B" w:rsidRDefault="006E2755">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5EA0D0ED" w:rsidR="005213D0" w:rsidRPr="00D5483B" w:rsidDel="00EF2051" w:rsidRDefault="005213D0">
      <w:pPr>
        <w:widowControl/>
        <w:autoSpaceDE/>
        <w:autoSpaceDN/>
        <w:rPr>
          <w:rFonts w:ascii="Calibri" w:hAnsi="Calibri" w:cs="Calibri"/>
          <w:b/>
          <w:lang w:val="sk-SK"/>
        </w:rPr>
      </w:pPr>
    </w:p>
    <w:p w14:paraId="77C5114E" w14:textId="5DB4BD43" w:rsidR="008C222B" w:rsidRPr="00D5483B" w:rsidDel="00EF2051" w:rsidRDefault="008C222B" w:rsidP="006718D8">
      <w:pPr>
        <w:jc w:val="center"/>
        <w:rPr>
          <w:rFonts w:ascii="Calibri" w:hAnsi="Calibri" w:cs="Calibri"/>
          <w:b/>
          <w:lang w:val="sk-SK"/>
        </w:rPr>
      </w:pPr>
      <w:r w:rsidRPr="7DAB3223">
        <w:rPr>
          <w:rFonts w:ascii="Calibri" w:hAnsi="Calibri" w:cs="Calibri"/>
          <w:b/>
          <w:lang w:val="sk-SK"/>
        </w:rPr>
        <w:t>Príloha č. 1</w:t>
      </w:r>
    </w:p>
    <w:p w14:paraId="5E35CDCD" w14:textId="1AEA597D" w:rsidR="008C222B" w:rsidRPr="00D5483B" w:rsidDel="00EF2051" w:rsidRDefault="008C222B" w:rsidP="008C222B">
      <w:pPr>
        <w:jc w:val="center"/>
        <w:rPr>
          <w:rFonts w:ascii="Calibri" w:hAnsi="Calibri" w:cs="Calibri"/>
          <w:b/>
          <w:lang w:val="sk-SK"/>
        </w:rPr>
      </w:pPr>
      <w:r w:rsidRPr="7DAB3223">
        <w:rPr>
          <w:rFonts w:ascii="Calibri" w:hAnsi="Calibri" w:cs="Calibri"/>
          <w:b/>
          <w:lang w:val="sk-SK"/>
        </w:rPr>
        <w:t>Opis predmetu zákazky</w:t>
      </w:r>
    </w:p>
    <w:p w14:paraId="5125240A" w14:textId="0595D66D" w:rsidR="008C222B" w:rsidRPr="00D5483B" w:rsidDel="00EF2051" w:rsidRDefault="008C222B" w:rsidP="008C222B">
      <w:pPr>
        <w:rPr>
          <w:rFonts w:ascii="Calibri" w:hAnsi="Calibri" w:cs="Calibri"/>
          <w:b/>
          <w:lang w:val="sk-SK"/>
        </w:rPr>
      </w:pPr>
    </w:p>
    <w:p w14:paraId="18E4630F" w14:textId="77777777" w:rsidR="008C222B" w:rsidRPr="00D5483B" w:rsidRDefault="008C222B" w:rsidP="008C222B">
      <w:pPr>
        <w:rPr>
          <w:rFonts w:ascii="Calibri" w:hAnsi="Calibri" w:cs="Calibri"/>
          <w:b/>
          <w:bCs/>
          <w:szCs w:val="20"/>
          <w:lang w:val="sk-SK"/>
        </w:rPr>
      </w:pPr>
    </w:p>
    <w:p w14:paraId="234805A0" w14:textId="13B702C7" w:rsidR="00DB0BD1" w:rsidRPr="007E0F2A" w:rsidDel="00EF2051" w:rsidRDefault="00DB0BD1">
      <w:pPr>
        <w:jc w:val="both"/>
        <w:rPr>
          <w:rFonts w:cstheme="minorHAnsi"/>
          <w:sz w:val="22"/>
          <w:lang w:val="sk-SK"/>
        </w:rPr>
      </w:pPr>
      <w:r w:rsidRPr="007E0F2A">
        <w:rPr>
          <w:rFonts w:cstheme="minorHAnsi"/>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7E0F2A">
        <w:rPr>
          <w:rFonts w:cstheme="minorHAnsi"/>
          <w:sz w:val="22"/>
          <w:lang w:val="sk-SK"/>
        </w:rPr>
        <w:t>zúčtovateľovi</w:t>
      </w:r>
      <w:proofErr w:type="spellEnd"/>
      <w:r w:rsidRPr="007E0F2A">
        <w:rPr>
          <w:rFonts w:cstheme="minorHAnsi"/>
          <w:sz w:val="22"/>
          <w:lang w:val="sk-SK"/>
        </w:rPr>
        <w:t xml:space="preserve"> odchýlok formou Zmluvy o dodávke elektriny v súlade so zákonom č. 251/2012 Z. z. o energetike v platnom znení (ďalej len „Zákon o energetike“).</w:t>
      </w:r>
    </w:p>
    <w:p w14:paraId="1D0C9E99" w14:textId="3239FD87" w:rsidR="00DB0BD1" w:rsidRPr="007E0F2A" w:rsidDel="00EF2051" w:rsidRDefault="00DB0BD1">
      <w:pPr>
        <w:jc w:val="both"/>
        <w:rPr>
          <w:rFonts w:cstheme="minorHAnsi"/>
          <w:sz w:val="22"/>
          <w:lang w:val="sk-SK"/>
        </w:rPr>
      </w:pPr>
    </w:p>
    <w:p w14:paraId="082D1466" w14:textId="58B8EE4F" w:rsidR="00DB0BD1" w:rsidRPr="007E0F2A" w:rsidDel="00EF2051" w:rsidRDefault="00DB0BD1">
      <w:pPr>
        <w:jc w:val="both"/>
        <w:rPr>
          <w:rFonts w:cstheme="minorHAnsi"/>
          <w:sz w:val="22"/>
          <w:lang w:val="sk-SK"/>
        </w:rPr>
      </w:pPr>
      <w:r w:rsidRPr="007E0F2A">
        <w:rPr>
          <w:rFonts w:cstheme="minorHAnsi"/>
          <w:sz w:val="22"/>
          <w:lang w:val="sk-SK"/>
        </w:rPr>
        <w:t xml:space="preserve">Obdobie dodávky: </w:t>
      </w:r>
      <w:r w:rsidRPr="007E0F2A">
        <w:rPr>
          <w:rFonts w:cstheme="minorHAnsi"/>
          <w:lang w:val="sk-SK"/>
        </w:rPr>
        <w:tab/>
      </w:r>
      <w:r w:rsidRPr="007E0F2A">
        <w:rPr>
          <w:rFonts w:cstheme="minorHAnsi"/>
          <w:sz w:val="22"/>
          <w:lang w:val="sk-SK"/>
        </w:rPr>
        <w:t>01.01.202</w:t>
      </w:r>
      <w:r w:rsidR="00980B5F" w:rsidRPr="007E0F2A">
        <w:rPr>
          <w:rFonts w:cstheme="minorHAnsi"/>
          <w:sz w:val="22"/>
          <w:lang w:val="sk-SK"/>
        </w:rPr>
        <w:t>5</w:t>
      </w:r>
      <w:r w:rsidRPr="007E0F2A">
        <w:rPr>
          <w:rFonts w:cstheme="minorHAnsi"/>
          <w:sz w:val="22"/>
          <w:lang w:val="sk-SK"/>
        </w:rPr>
        <w:t xml:space="preserve"> – 31.12.202</w:t>
      </w:r>
      <w:r w:rsidR="00980B5F" w:rsidRPr="007E0F2A">
        <w:rPr>
          <w:rFonts w:cstheme="minorHAnsi"/>
          <w:sz w:val="22"/>
          <w:lang w:val="sk-SK"/>
        </w:rPr>
        <w:t>5</w:t>
      </w:r>
    </w:p>
    <w:p w14:paraId="4474451A" w14:textId="5EC02E6A" w:rsidR="00DB0BD1" w:rsidRPr="007E0F2A" w:rsidDel="00EF2051" w:rsidRDefault="00DB0BD1">
      <w:pPr>
        <w:jc w:val="both"/>
        <w:rPr>
          <w:rFonts w:cstheme="minorHAnsi"/>
          <w:sz w:val="22"/>
          <w:lang w:val="sk-SK"/>
        </w:rPr>
      </w:pPr>
    </w:p>
    <w:p w14:paraId="3B8BCB31" w14:textId="0BE468F2" w:rsidR="00DB0BD1" w:rsidRPr="007E0F2A" w:rsidDel="00EF2051" w:rsidRDefault="00DB0BD1" w:rsidP="61A8E90C">
      <w:pPr>
        <w:jc w:val="both"/>
        <w:rPr>
          <w:rFonts w:cstheme="minorHAnsi"/>
          <w:sz w:val="22"/>
          <w:lang w:val="sk-SK"/>
        </w:rPr>
      </w:pPr>
    </w:p>
    <w:p w14:paraId="7CFEDAFB" w14:textId="2452451A" w:rsidR="00DB0BD1" w:rsidRPr="007E0F2A" w:rsidDel="00EF2051" w:rsidRDefault="00DB0BD1">
      <w:pPr>
        <w:jc w:val="both"/>
        <w:rPr>
          <w:rFonts w:cstheme="minorHAnsi"/>
          <w:sz w:val="22"/>
          <w:lang w:val="sk-SK"/>
        </w:rPr>
      </w:pPr>
    </w:p>
    <w:p w14:paraId="5823DAA0" w14:textId="48ED4602" w:rsidR="00DB0BD1" w:rsidRPr="007E0F2A" w:rsidDel="00EF2051" w:rsidRDefault="00DB0BD1">
      <w:pPr>
        <w:jc w:val="both"/>
        <w:rPr>
          <w:rFonts w:cstheme="minorHAnsi"/>
          <w:sz w:val="22"/>
          <w:lang w:val="sk-SK"/>
        </w:rPr>
      </w:pPr>
      <w:r w:rsidRPr="007E0F2A">
        <w:rPr>
          <w:rFonts w:cstheme="minorHAnsi"/>
          <w:sz w:val="22"/>
          <w:lang w:val="sk-SK"/>
        </w:rPr>
        <w:t>Tabuľka 1 – Zoznam Odberateľov, Typ merania, Predpokladaný odber</w:t>
      </w:r>
    </w:p>
    <w:p w14:paraId="7C0D1E66" w14:textId="308971F8" w:rsidR="00C207BB" w:rsidRPr="007E0F2A" w:rsidDel="00EF2051" w:rsidRDefault="00C207BB">
      <w:pPr>
        <w:jc w:val="both"/>
        <w:rPr>
          <w:rFonts w:cstheme="minorHAnsi"/>
          <w:sz w:val="22"/>
          <w:lang w:val="sk-SK"/>
        </w:rPr>
      </w:pPr>
    </w:p>
    <w:tbl>
      <w:tblPr>
        <w:tblStyle w:val="Mriekatabuky2"/>
        <w:tblW w:w="0" w:type="auto"/>
        <w:jc w:val="center"/>
        <w:tblLook w:val="04A0" w:firstRow="1" w:lastRow="0" w:firstColumn="1" w:lastColumn="0" w:noHBand="0" w:noVBand="1"/>
      </w:tblPr>
      <w:tblGrid>
        <w:gridCol w:w="1413"/>
        <w:gridCol w:w="2268"/>
        <w:gridCol w:w="2410"/>
        <w:gridCol w:w="2409"/>
      </w:tblGrid>
      <w:tr w:rsidR="00C207BB" w:rsidRPr="007E0F2A" w:rsidDel="00EF2051" w14:paraId="16D345DE" w14:textId="4DE44BE9" w:rsidTr="61A8E90C">
        <w:trPr>
          <w:trHeight w:val="300"/>
          <w:jc w:val="center"/>
        </w:trPr>
        <w:tc>
          <w:tcPr>
            <w:tcW w:w="1413" w:type="dxa"/>
            <w:vAlign w:val="center"/>
          </w:tcPr>
          <w:p w14:paraId="3AD24B02" w14:textId="68D2DFEE" w:rsidR="00C207BB" w:rsidRPr="007E0F2A" w:rsidDel="00EF2051" w:rsidRDefault="00C207BB">
            <w:pPr>
              <w:jc w:val="center"/>
              <w:rPr>
                <w:rFonts w:cstheme="minorHAnsi"/>
                <w:b/>
                <w:bCs/>
                <w:sz w:val="22"/>
                <w:lang w:val="sk-SK"/>
              </w:rPr>
            </w:pPr>
            <w:r w:rsidRPr="007E0F2A">
              <w:rPr>
                <w:rFonts w:cstheme="minorHAnsi"/>
                <w:b/>
                <w:bCs/>
                <w:sz w:val="22"/>
                <w:lang w:val="sk-SK"/>
              </w:rPr>
              <w:t>Typ merania</w:t>
            </w:r>
          </w:p>
        </w:tc>
        <w:tc>
          <w:tcPr>
            <w:tcW w:w="2268" w:type="dxa"/>
            <w:vAlign w:val="center"/>
          </w:tcPr>
          <w:p w14:paraId="30945635" w14:textId="33B46CE6" w:rsidR="00C207BB" w:rsidRPr="007E0F2A" w:rsidDel="00EF2051" w:rsidRDefault="00C207BB" w:rsidP="61A8E90C">
            <w:pPr>
              <w:jc w:val="center"/>
              <w:rPr>
                <w:rFonts w:cstheme="minorHAnsi"/>
                <w:b/>
                <w:bCs/>
                <w:sz w:val="22"/>
                <w:lang w:val="sk-SK"/>
              </w:rPr>
            </w:pPr>
            <w:r w:rsidRPr="007E0F2A">
              <w:rPr>
                <w:rFonts w:cstheme="minorHAnsi"/>
                <w:b/>
                <w:bCs/>
                <w:sz w:val="22"/>
                <w:lang w:val="sk-SK"/>
              </w:rPr>
              <w:t>Počet odberných miest</w:t>
            </w:r>
          </w:p>
        </w:tc>
        <w:tc>
          <w:tcPr>
            <w:tcW w:w="2410" w:type="dxa"/>
            <w:vAlign w:val="center"/>
          </w:tcPr>
          <w:p w14:paraId="45BBF7DC" w14:textId="2640CCE8" w:rsidR="00C207BB" w:rsidRPr="007E0F2A" w:rsidDel="00EF2051" w:rsidRDefault="00C207BB" w:rsidP="61A8E90C">
            <w:pPr>
              <w:jc w:val="center"/>
              <w:rPr>
                <w:rFonts w:cstheme="minorHAnsi"/>
                <w:b/>
                <w:bCs/>
                <w:sz w:val="22"/>
                <w:lang w:val="sk-SK"/>
              </w:rPr>
            </w:pPr>
            <w:r w:rsidRPr="007E0F2A">
              <w:rPr>
                <w:rFonts w:cstheme="minorHAnsi"/>
                <w:b/>
                <w:bCs/>
                <w:sz w:val="22"/>
                <w:lang w:val="sk-SK"/>
              </w:rPr>
              <w:t>Predpokladaný odber (MWh)</w:t>
            </w:r>
          </w:p>
        </w:tc>
        <w:tc>
          <w:tcPr>
            <w:tcW w:w="2409" w:type="dxa"/>
            <w:vAlign w:val="center"/>
          </w:tcPr>
          <w:p w14:paraId="57208D22" w14:textId="28B228E4" w:rsidR="00C207BB" w:rsidRPr="007E0F2A" w:rsidDel="00EF2051" w:rsidRDefault="00C207BB">
            <w:pPr>
              <w:jc w:val="center"/>
              <w:rPr>
                <w:rFonts w:cstheme="minorHAnsi"/>
                <w:b/>
                <w:bCs/>
                <w:sz w:val="22"/>
                <w:lang w:val="sk-SK"/>
              </w:rPr>
            </w:pPr>
            <w:r w:rsidRPr="007E0F2A" w:rsidDel="00EF2051">
              <w:rPr>
                <w:rFonts w:cstheme="minorHAnsi"/>
                <w:b/>
                <w:bCs/>
                <w:sz w:val="22"/>
                <w:lang w:val="sk-SK"/>
              </w:rPr>
              <w:t>% z celkového odberu Odberateľa</w:t>
            </w:r>
          </w:p>
        </w:tc>
      </w:tr>
      <w:tr w:rsidR="00C207BB" w:rsidRPr="007E0F2A" w:rsidDel="00EF2051" w14:paraId="0D15F810" w14:textId="011C52E6" w:rsidTr="61A8E90C">
        <w:trPr>
          <w:trHeight w:val="300"/>
          <w:jc w:val="center"/>
        </w:trPr>
        <w:tc>
          <w:tcPr>
            <w:tcW w:w="1413" w:type="dxa"/>
          </w:tcPr>
          <w:p w14:paraId="422C1A6F" w14:textId="4194B006" w:rsidR="00C207BB" w:rsidRPr="007E0F2A" w:rsidDel="00EF2051" w:rsidRDefault="00C207BB">
            <w:pPr>
              <w:jc w:val="center"/>
              <w:rPr>
                <w:rFonts w:cstheme="minorHAnsi"/>
                <w:sz w:val="22"/>
                <w:highlight w:val="yellow"/>
                <w:lang w:val="sk-SK"/>
              </w:rPr>
            </w:pPr>
            <w:r w:rsidRPr="007E0F2A" w:rsidDel="00EF2051">
              <w:rPr>
                <w:rFonts w:cstheme="minorHAnsi"/>
                <w:sz w:val="22"/>
                <w:highlight w:val="yellow"/>
                <w:lang w:val="sk-SK"/>
              </w:rPr>
              <w:t>A</w:t>
            </w:r>
          </w:p>
        </w:tc>
        <w:tc>
          <w:tcPr>
            <w:tcW w:w="2268" w:type="dxa"/>
          </w:tcPr>
          <w:p w14:paraId="30FEE46C" w14:textId="43853872" w:rsidR="00C207BB" w:rsidRPr="007E0F2A" w:rsidDel="00EF2051" w:rsidRDefault="00C207BB">
            <w:pPr>
              <w:jc w:val="center"/>
              <w:rPr>
                <w:rFonts w:cstheme="minorHAnsi"/>
                <w:sz w:val="22"/>
                <w:highlight w:val="yellow"/>
                <w:lang w:val="sk-SK"/>
              </w:rPr>
            </w:pPr>
            <w:r w:rsidRPr="007E0F2A" w:rsidDel="00EF2051">
              <w:rPr>
                <w:rFonts w:cstheme="minorHAnsi"/>
                <w:sz w:val="22"/>
                <w:highlight w:val="yellow"/>
                <w:lang w:val="sk-SK"/>
              </w:rPr>
              <w:t>8</w:t>
            </w:r>
          </w:p>
        </w:tc>
        <w:tc>
          <w:tcPr>
            <w:tcW w:w="2410" w:type="dxa"/>
          </w:tcPr>
          <w:p w14:paraId="3D8DE3BE" w14:textId="6B06E913" w:rsidR="00C207BB" w:rsidRPr="007E0F2A" w:rsidDel="00EF2051" w:rsidRDefault="00C207BB">
            <w:pPr>
              <w:jc w:val="center"/>
              <w:rPr>
                <w:rFonts w:cstheme="minorHAnsi"/>
                <w:sz w:val="22"/>
                <w:highlight w:val="yellow"/>
                <w:lang w:val="sk-SK"/>
              </w:rPr>
            </w:pPr>
            <w:r w:rsidRPr="007E0F2A" w:rsidDel="00EF2051">
              <w:rPr>
                <w:rFonts w:cstheme="minorHAnsi"/>
                <w:sz w:val="22"/>
                <w:highlight w:val="yellow"/>
                <w:lang w:val="sk-SK"/>
              </w:rPr>
              <w:t>147,71</w:t>
            </w:r>
          </w:p>
        </w:tc>
        <w:tc>
          <w:tcPr>
            <w:tcW w:w="2409" w:type="dxa"/>
          </w:tcPr>
          <w:p w14:paraId="0766C811" w14:textId="549AC216" w:rsidR="00C207BB" w:rsidRPr="007E0F2A" w:rsidDel="00EF2051" w:rsidRDefault="00C207BB">
            <w:pPr>
              <w:jc w:val="center"/>
              <w:rPr>
                <w:rFonts w:cstheme="minorHAnsi"/>
                <w:sz w:val="22"/>
                <w:lang w:val="sk-SK"/>
              </w:rPr>
            </w:pPr>
          </w:p>
        </w:tc>
      </w:tr>
      <w:tr w:rsidR="00C207BB" w:rsidRPr="007E0F2A" w:rsidDel="00EF2051" w14:paraId="5ABF4B1F" w14:textId="6922F70E" w:rsidTr="61A8E90C">
        <w:trPr>
          <w:trHeight w:val="300"/>
          <w:jc w:val="center"/>
        </w:trPr>
        <w:tc>
          <w:tcPr>
            <w:tcW w:w="1413" w:type="dxa"/>
          </w:tcPr>
          <w:p w14:paraId="1EDA4705" w14:textId="5014AC58" w:rsidR="00C207BB" w:rsidRPr="007E0F2A" w:rsidDel="00EF2051" w:rsidRDefault="00C207BB">
            <w:pPr>
              <w:jc w:val="center"/>
              <w:rPr>
                <w:rFonts w:cstheme="minorHAnsi"/>
                <w:sz w:val="22"/>
                <w:lang w:val="sk-SK"/>
              </w:rPr>
            </w:pPr>
          </w:p>
        </w:tc>
        <w:tc>
          <w:tcPr>
            <w:tcW w:w="2268" w:type="dxa"/>
          </w:tcPr>
          <w:p w14:paraId="36E3500D" w14:textId="44248A74" w:rsidR="00C207BB" w:rsidRPr="007E0F2A" w:rsidDel="00EF2051" w:rsidRDefault="00C207BB">
            <w:pPr>
              <w:jc w:val="center"/>
              <w:rPr>
                <w:rFonts w:cstheme="minorHAnsi"/>
                <w:sz w:val="22"/>
                <w:lang w:val="sk-SK"/>
              </w:rPr>
            </w:pPr>
          </w:p>
        </w:tc>
        <w:tc>
          <w:tcPr>
            <w:tcW w:w="2410" w:type="dxa"/>
          </w:tcPr>
          <w:p w14:paraId="4982D644" w14:textId="73019D13" w:rsidR="00C207BB" w:rsidRPr="007E0F2A" w:rsidDel="00EF2051" w:rsidRDefault="002177DA">
            <w:pPr>
              <w:jc w:val="center"/>
              <w:rPr>
                <w:rFonts w:cstheme="minorHAnsi"/>
                <w:sz w:val="22"/>
                <w:lang w:val="sk-SK"/>
              </w:rPr>
            </w:pPr>
            <w:r w:rsidRPr="007E0F2A">
              <w:rPr>
                <w:rFonts w:cstheme="minorHAnsi"/>
                <w:sz w:val="22"/>
                <w:highlight w:val="yellow"/>
                <w:lang w:val="sk-SK"/>
              </w:rPr>
              <w:t>príklad</w:t>
            </w:r>
          </w:p>
        </w:tc>
        <w:tc>
          <w:tcPr>
            <w:tcW w:w="2409" w:type="dxa"/>
          </w:tcPr>
          <w:p w14:paraId="3B62DCD9" w14:textId="62CA149F" w:rsidR="00C207BB" w:rsidRPr="007E0F2A" w:rsidDel="00EF2051" w:rsidRDefault="00C207BB">
            <w:pPr>
              <w:jc w:val="center"/>
              <w:rPr>
                <w:rFonts w:cstheme="minorHAnsi"/>
                <w:sz w:val="22"/>
                <w:lang w:val="sk-SK"/>
              </w:rPr>
            </w:pPr>
          </w:p>
        </w:tc>
      </w:tr>
      <w:tr w:rsidR="00C207BB" w:rsidRPr="007E0F2A" w:rsidDel="00EF2051" w14:paraId="68E14170" w14:textId="374882B6" w:rsidTr="61A8E90C">
        <w:trPr>
          <w:trHeight w:val="300"/>
          <w:jc w:val="center"/>
        </w:trPr>
        <w:tc>
          <w:tcPr>
            <w:tcW w:w="1413" w:type="dxa"/>
          </w:tcPr>
          <w:p w14:paraId="77B1B961" w14:textId="7D85FD36" w:rsidR="00C207BB" w:rsidRPr="007E0F2A" w:rsidDel="00EF2051" w:rsidRDefault="00C207BB">
            <w:pPr>
              <w:jc w:val="center"/>
              <w:rPr>
                <w:rFonts w:cstheme="minorHAnsi"/>
                <w:sz w:val="22"/>
                <w:lang w:val="sk-SK"/>
              </w:rPr>
            </w:pPr>
          </w:p>
        </w:tc>
        <w:tc>
          <w:tcPr>
            <w:tcW w:w="2268" w:type="dxa"/>
          </w:tcPr>
          <w:p w14:paraId="7821A543" w14:textId="184FFE93" w:rsidR="00C207BB" w:rsidRPr="007E0F2A" w:rsidDel="00EF2051" w:rsidRDefault="00C207BB">
            <w:pPr>
              <w:jc w:val="center"/>
              <w:rPr>
                <w:rFonts w:cstheme="minorHAnsi"/>
                <w:sz w:val="22"/>
                <w:lang w:val="sk-SK"/>
              </w:rPr>
            </w:pPr>
          </w:p>
        </w:tc>
        <w:tc>
          <w:tcPr>
            <w:tcW w:w="2410" w:type="dxa"/>
          </w:tcPr>
          <w:p w14:paraId="3DCDF240" w14:textId="4FE60DEA" w:rsidR="00C207BB" w:rsidRPr="007E0F2A" w:rsidDel="00EF2051" w:rsidRDefault="00C207BB">
            <w:pPr>
              <w:jc w:val="center"/>
              <w:rPr>
                <w:rFonts w:cstheme="minorHAnsi"/>
                <w:sz w:val="22"/>
                <w:lang w:val="sk-SK"/>
              </w:rPr>
            </w:pPr>
          </w:p>
        </w:tc>
        <w:tc>
          <w:tcPr>
            <w:tcW w:w="2409" w:type="dxa"/>
          </w:tcPr>
          <w:p w14:paraId="20D36548" w14:textId="47B0B2E8" w:rsidR="00C207BB" w:rsidRPr="007E0F2A" w:rsidDel="00EF2051" w:rsidRDefault="00C207BB">
            <w:pPr>
              <w:jc w:val="center"/>
              <w:rPr>
                <w:rFonts w:cstheme="minorHAnsi"/>
                <w:sz w:val="22"/>
                <w:lang w:val="sk-SK"/>
              </w:rPr>
            </w:pPr>
          </w:p>
        </w:tc>
      </w:tr>
      <w:tr w:rsidR="00C207BB" w:rsidRPr="007E0F2A" w:rsidDel="00EF2051" w14:paraId="2472C981" w14:textId="773DD1C6" w:rsidTr="61A8E90C">
        <w:trPr>
          <w:trHeight w:val="300"/>
          <w:jc w:val="center"/>
        </w:trPr>
        <w:tc>
          <w:tcPr>
            <w:tcW w:w="1413" w:type="dxa"/>
          </w:tcPr>
          <w:p w14:paraId="24984E11" w14:textId="60CC5382" w:rsidR="00C207BB" w:rsidRPr="007E0F2A" w:rsidDel="00EF2051" w:rsidRDefault="00C207BB">
            <w:pPr>
              <w:jc w:val="center"/>
              <w:rPr>
                <w:rFonts w:cstheme="minorHAnsi"/>
                <w:sz w:val="22"/>
                <w:lang w:val="sk-SK"/>
              </w:rPr>
            </w:pPr>
          </w:p>
        </w:tc>
        <w:tc>
          <w:tcPr>
            <w:tcW w:w="2268" w:type="dxa"/>
          </w:tcPr>
          <w:p w14:paraId="01F796A1" w14:textId="19AC8B47" w:rsidR="00C207BB" w:rsidRPr="007E0F2A" w:rsidDel="00EF2051" w:rsidRDefault="00C207BB">
            <w:pPr>
              <w:jc w:val="center"/>
              <w:rPr>
                <w:rFonts w:cstheme="minorHAnsi"/>
                <w:b/>
                <w:bCs/>
                <w:sz w:val="22"/>
                <w:lang w:val="sk-SK"/>
              </w:rPr>
            </w:pPr>
          </w:p>
        </w:tc>
        <w:tc>
          <w:tcPr>
            <w:tcW w:w="2410" w:type="dxa"/>
          </w:tcPr>
          <w:p w14:paraId="125A57A9" w14:textId="0B67EF99" w:rsidR="00C207BB" w:rsidRPr="007E0F2A" w:rsidDel="00EF2051" w:rsidRDefault="00C207BB">
            <w:pPr>
              <w:jc w:val="center"/>
              <w:rPr>
                <w:rFonts w:cstheme="minorHAnsi"/>
                <w:b/>
                <w:bCs/>
                <w:sz w:val="22"/>
                <w:lang w:val="sk-SK"/>
              </w:rPr>
            </w:pPr>
          </w:p>
        </w:tc>
        <w:tc>
          <w:tcPr>
            <w:tcW w:w="2409" w:type="dxa"/>
          </w:tcPr>
          <w:p w14:paraId="2EE1B894" w14:textId="2D5F7B07" w:rsidR="00C207BB" w:rsidRPr="007E0F2A" w:rsidDel="00EF2051" w:rsidRDefault="00C207BB">
            <w:pPr>
              <w:jc w:val="center"/>
              <w:rPr>
                <w:rFonts w:cstheme="minorHAnsi"/>
                <w:b/>
                <w:bCs/>
                <w:sz w:val="22"/>
                <w:lang w:val="sk-SK"/>
              </w:rPr>
            </w:pPr>
          </w:p>
        </w:tc>
      </w:tr>
    </w:tbl>
    <w:p w14:paraId="41FB6BCC" w14:textId="2144E05E" w:rsidR="00DB0BD1" w:rsidRPr="007E0F2A" w:rsidDel="00EF2051" w:rsidRDefault="00DB0BD1">
      <w:pPr>
        <w:jc w:val="both"/>
        <w:rPr>
          <w:rFonts w:cstheme="minorHAnsi"/>
          <w:sz w:val="22"/>
          <w:lang w:val="sk-SK"/>
        </w:rPr>
      </w:pPr>
    </w:p>
    <w:p w14:paraId="656347CD" w14:textId="4D5FB0F0" w:rsidR="00DB0BD1" w:rsidRPr="007E0F2A" w:rsidDel="00EF2051" w:rsidRDefault="00DB0BD1">
      <w:pPr>
        <w:jc w:val="both"/>
        <w:rPr>
          <w:rFonts w:cstheme="minorHAnsi"/>
          <w:sz w:val="22"/>
          <w:lang w:val="sk-SK"/>
        </w:rPr>
      </w:pPr>
      <w:r w:rsidRPr="007E0F2A">
        <w:rPr>
          <w:rFonts w:cstheme="minorHAnsi"/>
          <w:sz w:val="22"/>
          <w:lang w:val="sk-SK"/>
        </w:rPr>
        <w:t>Vysvetlivky:</w:t>
      </w:r>
    </w:p>
    <w:p w14:paraId="2CC66362" w14:textId="34AB59A6"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 xml:space="preserve">Meranie typu A - </w:t>
      </w:r>
      <w:proofErr w:type="spellStart"/>
      <w:r w:rsidRPr="007E0F2A">
        <w:rPr>
          <w:rFonts w:cstheme="minorHAnsi"/>
          <w:lang w:val="sk-SK" w:eastAsia="sk-SK"/>
        </w:rPr>
        <w:t>priebehové</w:t>
      </w:r>
      <w:proofErr w:type="spellEnd"/>
      <w:r w:rsidRPr="007E0F2A">
        <w:rPr>
          <w:rFonts w:cstheme="minorHAnsi"/>
          <w:lang w:val="sk-SK" w:eastAsia="sk-SK"/>
        </w:rPr>
        <w:t xml:space="preserve"> meranie s možnosťou diaľkového odpočtu, </w:t>
      </w:r>
    </w:p>
    <w:p w14:paraId="51DF6D42" w14:textId="4737DEA4"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 xml:space="preserve">Meranie typu B - </w:t>
      </w:r>
      <w:proofErr w:type="spellStart"/>
      <w:r w:rsidRPr="007E0F2A">
        <w:rPr>
          <w:rFonts w:cstheme="minorHAnsi"/>
          <w:lang w:val="sk-SK" w:eastAsia="sk-SK"/>
        </w:rPr>
        <w:t>priebehové</w:t>
      </w:r>
      <w:proofErr w:type="spellEnd"/>
      <w:r w:rsidRPr="007E0F2A">
        <w:rPr>
          <w:rFonts w:cstheme="minorHAnsi"/>
          <w:lang w:val="sk-SK" w:eastAsia="sk-SK"/>
        </w:rPr>
        <w:t xml:space="preserve"> meranie bez možnosti diaľkového odpočtu, </w:t>
      </w:r>
    </w:p>
    <w:p w14:paraId="036F61D6" w14:textId="5F58B1CB"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 xml:space="preserve">Meranie typu C - meranie bez </w:t>
      </w:r>
      <w:proofErr w:type="spellStart"/>
      <w:r w:rsidRPr="007E0F2A">
        <w:rPr>
          <w:rFonts w:cstheme="minorHAnsi"/>
          <w:lang w:val="sk-SK" w:eastAsia="sk-SK"/>
        </w:rPr>
        <w:t>priebehového</w:t>
      </w:r>
      <w:proofErr w:type="spellEnd"/>
      <w:r w:rsidRPr="007E0F2A">
        <w:rPr>
          <w:rFonts w:cstheme="minorHAnsi"/>
          <w:lang w:val="sk-SK" w:eastAsia="sk-SK"/>
        </w:rPr>
        <w:t xml:space="preserve"> merania a bez možnosti diaľkového odpočtu. </w:t>
      </w:r>
    </w:p>
    <w:p w14:paraId="68B5D1E6" w14:textId="3274FC54" w:rsidR="00DB0BD1" w:rsidRPr="007E0F2A" w:rsidDel="00EF2051" w:rsidRDefault="00DB0BD1" w:rsidP="00DA508F">
      <w:pPr>
        <w:widowControl/>
        <w:autoSpaceDE/>
        <w:autoSpaceDN/>
        <w:ind w:left="720"/>
        <w:jc w:val="both"/>
        <w:textAlignment w:val="baseline"/>
        <w:rPr>
          <w:rFonts w:cstheme="minorHAnsi"/>
          <w:lang w:val="sk-SK" w:eastAsia="sk-SK"/>
        </w:rPr>
      </w:pPr>
    </w:p>
    <w:p w14:paraId="2242437E" w14:textId="7C2EAB62"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Podrobný zoznam odberných miest jednotlivých verejných obstarávateľov je uvedený v prílohe č. 2. - Zoznam odberných miest obsahuje nasledovné údaje: </w:t>
      </w:r>
    </w:p>
    <w:p w14:paraId="6323F191" w14:textId="6A58D27F"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názov Odberateľa (+ IČO), </w:t>
      </w:r>
    </w:p>
    <w:p w14:paraId="74F73BBD" w14:textId="0FC082F6"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EIC, </w:t>
      </w:r>
    </w:p>
    <w:p w14:paraId="4BBBA95C" w14:textId="63663D74"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adresu odberného miesta, </w:t>
      </w:r>
    </w:p>
    <w:p w14:paraId="795D173E" w14:textId="4C2943DB"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predpokladaný odber (MWh), </w:t>
      </w:r>
    </w:p>
    <w:p w14:paraId="0351AA27" w14:textId="52A0F7E8"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hodnotu ističa (A)/rezervovanú kapacitu (kW), </w:t>
      </w:r>
    </w:p>
    <w:p w14:paraId="6EF93AC2" w14:textId="70C0630D" w:rsidR="00DB0BD1" w:rsidRPr="007E0F2A" w:rsidDel="00EF2051" w:rsidRDefault="00DB0BD1">
      <w:pPr>
        <w:widowControl/>
        <w:numPr>
          <w:ilvl w:val="0"/>
          <w:numId w:val="29"/>
        </w:numPr>
        <w:autoSpaceDE/>
        <w:autoSpaceDN/>
        <w:jc w:val="both"/>
        <w:textAlignment w:val="baseline"/>
        <w:rPr>
          <w:rFonts w:cstheme="minorHAnsi"/>
          <w:lang w:val="sk-SK" w:eastAsia="sk-SK"/>
        </w:rPr>
      </w:pPr>
      <w:r w:rsidRPr="007E0F2A">
        <w:rPr>
          <w:rFonts w:cstheme="minorHAnsi"/>
          <w:lang w:val="sk-SK" w:eastAsia="sk-SK"/>
        </w:rPr>
        <w:t>počet fáz, </w:t>
      </w:r>
    </w:p>
    <w:p w14:paraId="463CFD0C" w14:textId="764DCC6A" w:rsidR="008C222B" w:rsidRPr="00D5483B" w:rsidDel="00EF2051" w:rsidRDefault="00DB0BD1" w:rsidP="00A936DF">
      <w:pPr>
        <w:jc w:val="center"/>
        <w:rPr>
          <w:rFonts w:ascii="Calibri" w:hAnsi="Calibri" w:cs="Calibri"/>
          <w:b/>
          <w:lang w:val="sk-SK"/>
        </w:rPr>
      </w:pPr>
      <w:r w:rsidRPr="7DAB3223">
        <w:rPr>
          <w:rFonts w:ascii="Calibri" w:hAnsi="Calibri" w:cs="Calibri"/>
          <w:b/>
          <w:lang w:val="sk-SK"/>
        </w:rPr>
        <w:t>Prí</w:t>
      </w:r>
      <w:r w:rsidR="008C222B" w:rsidRPr="7DAB3223">
        <w:rPr>
          <w:rFonts w:ascii="Calibri" w:hAnsi="Calibri" w:cs="Calibri"/>
          <w:b/>
          <w:lang w:val="sk-SK"/>
        </w:rPr>
        <w:t>loha č. 2</w:t>
      </w:r>
    </w:p>
    <w:p w14:paraId="2CC492A6" w14:textId="4F3056CF" w:rsidR="008C222B" w:rsidRPr="00D5483B" w:rsidDel="00EF2051" w:rsidRDefault="00EB7B07">
      <w:pPr>
        <w:jc w:val="center"/>
        <w:rPr>
          <w:rFonts w:ascii="Calibri" w:hAnsi="Calibri" w:cs="Calibri"/>
          <w:b/>
          <w:lang w:val="sk-SK"/>
        </w:rPr>
      </w:pPr>
      <w:bookmarkStart w:id="10" w:name="OLE_LINK94"/>
      <w:r w:rsidRPr="7DAB3223" w:rsidDel="00EF2051">
        <w:rPr>
          <w:rFonts w:ascii="Calibri" w:hAnsi="Calibri" w:cs="Calibri"/>
          <w:b/>
          <w:lang w:val="sk-SK"/>
        </w:rPr>
        <w:t>Predpokladaný objem odberu</w:t>
      </w:r>
      <w:bookmarkEnd w:id="10"/>
      <w:r w:rsidRPr="7DAB3223" w:rsidDel="00EF2051">
        <w:rPr>
          <w:rFonts w:ascii="Calibri" w:hAnsi="Calibri" w:cs="Calibri"/>
          <w:b/>
          <w:lang w:val="sk-SK"/>
        </w:rPr>
        <w:t xml:space="preserve"> a z</w:t>
      </w:r>
      <w:r w:rsidR="008C222B" w:rsidRPr="7DAB3223" w:rsidDel="00EF2051">
        <w:rPr>
          <w:rFonts w:ascii="Calibri" w:hAnsi="Calibri" w:cs="Calibri"/>
          <w:b/>
          <w:lang w:val="sk-SK"/>
        </w:rPr>
        <w:t xml:space="preserve">oznam </w:t>
      </w:r>
      <w:r w:rsidRPr="7DAB3223" w:rsidDel="00EF2051">
        <w:rPr>
          <w:rFonts w:ascii="Calibri" w:hAnsi="Calibri" w:cs="Calibri"/>
          <w:b/>
          <w:lang w:val="sk-SK"/>
        </w:rPr>
        <w:t>O</w:t>
      </w:r>
      <w:r w:rsidR="008C222B" w:rsidRPr="7DAB3223" w:rsidDel="00EF2051">
        <w:rPr>
          <w:rFonts w:ascii="Calibri" w:hAnsi="Calibri" w:cs="Calibri"/>
          <w:b/>
          <w:lang w:val="sk-SK"/>
        </w:rPr>
        <w:t>dberných miest</w:t>
      </w:r>
    </w:p>
    <w:p w14:paraId="0C3AA341" w14:textId="013F58EE" w:rsidR="008C222B" w:rsidRPr="00D5483B" w:rsidDel="00EF2051" w:rsidRDefault="008C222B">
      <w:pPr>
        <w:jc w:val="center"/>
        <w:rPr>
          <w:rFonts w:ascii="Calibri" w:hAnsi="Calibri" w:cs="Calibri"/>
          <w:b/>
          <w:lang w:val="sk-SK"/>
        </w:rPr>
      </w:pPr>
    </w:p>
    <w:p w14:paraId="57037DFB" w14:textId="2455B681" w:rsidR="008C222B" w:rsidRPr="00D5483B" w:rsidDel="00EF2051" w:rsidRDefault="008C222B">
      <w:pPr>
        <w:jc w:val="both"/>
        <w:rPr>
          <w:rFonts w:ascii="Calibri" w:hAnsi="Calibri" w:cs="Calibri"/>
          <w:lang w:val="sk-SK"/>
        </w:rPr>
      </w:pPr>
    </w:p>
    <w:p w14:paraId="230A4CBB" w14:textId="1AAB815A" w:rsidR="008C222B" w:rsidRDefault="008C222B">
      <w:pPr>
        <w:pStyle w:val="Odsekzoznamu"/>
        <w:ind w:left="0" w:firstLine="0"/>
        <w:jc w:val="both"/>
        <w:rPr>
          <w:rFonts w:ascii="Calibri" w:hAnsi="Calibri" w:cs="Calibri"/>
          <w:lang w:val="sk-SK"/>
        </w:rPr>
      </w:pPr>
      <w:bookmarkStart w:id="11" w:name="OLE_LINK5"/>
      <w:bookmarkStart w:id="12" w:name="OLE_LINK95"/>
      <w:bookmarkStart w:id="13" w:name="OLE_LINK122"/>
      <w:r w:rsidRPr="7DAB3223">
        <w:rPr>
          <w:rFonts w:ascii="Calibri" w:hAnsi="Calibri" w:cs="Calibri"/>
          <w:lang w:val="sk-SK"/>
        </w:rPr>
        <w:t>Predpokladan</w:t>
      </w:r>
      <w:r w:rsidR="0054001E" w:rsidRPr="7DAB3223">
        <w:rPr>
          <w:rFonts w:ascii="Calibri" w:hAnsi="Calibri" w:cs="Calibri"/>
          <w:lang w:val="sk-SK"/>
        </w:rPr>
        <w:t xml:space="preserve">ý objem </w:t>
      </w:r>
      <w:r w:rsidRPr="7DAB3223">
        <w:rPr>
          <w:rFonts w:ascii="Calibri" w:hAnsi="Calibri" w:cs="Calibri"/>
          <w:lang w:val="sk-SK"/>
        </w:rPr>
        <w:t>odobrat</w:t>
      </w:r>
      <w:r w:rsidR="00136E8E" w:rsidRPr="7DAB3223">
        <w:rPr>
          <w:rFonts w:ascii="Calibri" w:hAnsi="Calibri" w:cs="Calibri"/>
          <w:lang w:val="sk-SK"/>
        </w:rPr>
        <w:t>ej</w:t>
      </w:r>
      <w:bookmarkEnd w:id="11"/>
      <w:r w:rsidR="00136E8E" w:rsidRPr="7DAB3223">
        <w:rPr>
          <w:rFonts w:ascii="Calibri" w:hAnsi="Calibri" w:cs="Calibri"/>
          <w:lang w:val="sk-SK"/>
        </w:rPr>
        <w:t xml:space="preserve"> </w:t>
      </w:r>
      <w:bookmarkStart w:id="14" w:name="OLE_LINK99"/>
      <w:bookmarkStart w:id="15" w:name="OLE_LINK121"/>
      <w:r w:rsidR="00136E8E" w:rsidRPr="7DAB3223">
        <w:rPr>
          <w:rFonts w:ascii="Calibri" w:hAnsi="Calibri" w:cs="Calibri"/>
          <w:lang w:val="sk-SK"/>
        </w:rPr>
        <w:t xml:space="preserve">elektriny </w:t>
      </w:r>
      <w:bookmarkEnd w:id="14"/>
      <w:r w:rsidRPr="7DAB3223">
        <w:rPr>
          <w:rFonts w:ascii="Calibri" w:hAnsi="Calibri" w:cs="Calibri"/>
          <w:lang w:val="sk-SK"/>
        </w:rPr>
        <w:t xml:space="preserve">počas </w:t>
      </w:r>
      <w:bookmarkEnd w:id="12"/>
      <w:r w:rsidR="00210772" w:rsidRPr="7DAB3223">
        <w:rPr>
          <w:rFonts w:ascii="Calibri" w:hAnsi="Calibri" w:cs="Calibri"/>
          <w:lang w:val="sk-SK"/>
        </w:rPr>
        <w:t>Zmluvného obdobia</w:t>
      </w:r>
      <w:r w:rsidRPr="7DAB3223">
        <w:rPr>
          <w:rFonts w:ascii="Calibri" w:hAnsi="Calibri" w:cs="Calibri"/>
          <w:lang w:val="sk-SK"/>
        </w:rPr>
        <w:t>:</w:t>
      </w:r>
      <w:bookmarkStart w:id="16" w:name="OLE_LINK115"/>
      <w:r w:rsidR="00EE5FD4" w:rsidRPr="7DAB3223">
        <w:rPr>
          <w:rFonts w:ascii="Calibri" w:hAnsi="Calibri" w:cs="Calibri"/>
          <w:lang w:val="sk-SK"/>
        </w:rPr>
        <w:t xml:space="preserve"> je </w:t>
      </w:r>
      <w:bookmarkEnd w:id="16"/>
      <w:r w:rsidR="006E2755" w:rsidRPr="7DAB3223">
        <w:rPr>
          <w:rFonts w:ascii="Calibri" w:hAnsi="Calibri" w:cs="Calibri"/>
          <w:color w:val="000000" w:themeColor="text1"/>
          <w:highlight w:val="yellow"/>
          <w:lang w:val="sk-SK"/>
        </w:rPr>
        <w:t>[</w:t>
      </w:r>
      <w:r w:rsidR="006E2755" w:rsidRPr="7DAB3223">
        <w:rPr>
          <w:rFonts w:ascii="Wingdings" w:eastAsia="Wingdings" w:hAnsi="Wingdings" w:cs="Wingdings"/>
          <w:color w:val="000000" w:themeColor="text1"/>
          <w:highlight w:val="yellow"/>
          <w:lang w:val="sk-SK"/>
        </w:rPr>
        <w:t>□</w:t>
      </w:r>
      <w:r w:rsidR="006E2755" w:rsidRPr="7DAB3223">
        <w:rPr>
          <w:rFonts w:ascii="Calibri" w:hAnsi="Calibri" w:cs="Calibri"/>
          <w:color w:val="000000" w:themeColor="text1"/>
          <w:highlight w:val="yellow"/>
          <w:lang w:val="sk-SK"/>
        </w:rPr>
        <w:t>]</w:t>
      </w:r>
      <w:r w:rsidR="006E2755" w:rsidRPr="7DAB3223">
        <w:rPr>
          <w:rFonts w:ascii="Calibri" w:hAnsi="Calibri" w:cs="Calibri"/>
          <w:color w:val="000000" w:themeColor="text1"/>
          <w:lang w:val="sk-SK"/>
        </w:rPr>
        <w:t xml:space="preserve"> </w:t>
      </w:r>
      <w:r w:rsidRPr="7DAB3223">
        <w:rPr>
          <w:rFonts w:ascii="Calibri" w:hAnsi="Calibri" w:cs="Calibri"/>
          <w:lang w:val="sk-SK"/>
        </w:rPr>
        <w:t xml:space="preserve">MWh </w:t>
      </w:r>
      <w:r w:rsidR="00136E8E" w:rsidRPr="7DAB3223">
        <w:rPr>
          <w:rFonts w:ascii="Calibri" w:hAnsi="Calibri" w:cs="Calibri"/>
          <w:lang w:val="sk-SK"/>
        </w:rPr>
        <w:t>(ďalej ako „</w:t>
      </w:r>
      <w:bookmarkStart w:id="17" w:name="OLE_LINK100"/>
      <w:r w:rsidR="00136E8E" w:rsidRPr="7DAB3223">
        <w:rPr>
          <w:rFonts w:ascii="Calibri" w:hAnsi="Calibri" w:cs="Calibri"/>
          <w:b/>
          <w:lang w:val="sk-SK"/>
        </w:rPr>
        <w:t>Predpokladaný odber</w:t>
      </w:r>
      <w:bookmarkEnd w:id="17"/>
      <w:r w:rsidR="00136E8E" w:rsidRPr="7DAB3223">
        <w:rPr>
          <w:rFonts w:ascii="Calibri" w:hAnsi="Calibri" w:cs="Calibri"/>
          <w:lang w:val="sk-SK"/>
        </w:rPr>
        <w:t>“)</w:t>
      </w:r>
      <w:r w:rsidR="007202F4">
        <w:rPr>
          <w:rFonts w:ascii="Calibri" w:hAnsi="Calibri" w:cs="Calibri"/>
          <w:lang w:val="sk-SK"/>
        </w:rPr>
        <w:t>.</w:t>
      </w:r>
    </w:p>
    <w:p w14:paraId="292E0E06" w14:textId="615067D4" w:rsidR="007202F4" w:rsidRPr="00D5483B" w:rsidDel="00EF2051" w:rsidRDefault="007202F4">
      <w:pPr>
        <w:pStyle w:val="Odsekzoznamu"/>
        <w:ind w:left="0" w:firstLine="0"/>
        <w:jc w:val="both"/>
        <w:rPr>
          <w:rFonts w:ascii="Calibri" w:hAnsi="Calibri" w:cs="Calibri"/>
          <w:lang w:val="sk-SK"/>
        </w:rPr>
      </w:pPr>
      <w:r>
        <w:rPr>
          <w:rFonts w:ascii="Calibri" w:hAnsi="Calibri" w:cs="Calibri"/>
          <w:lang w:val="sk-SK"/>
        </w:rPr>
        <w:t xml:space="preserve">Odberné miesta sú uvedené v samostatnej prílohe. </w:t>
      </w:r>
    </w:p>
    <w:bookmarkEnd w:id="13"/>
    <w:p w14:paraId="7995B8CD" w14:textId="61BF7762" w:rsidR="00EB7B07" w:rsidRPr="00D5483B" w:rsidDel="00EF2051" w:rsidRDefault="00EB7B07">
      <w:pPr>
        <w:pStyle w:val="Odsekzoznamu"/>
        <w:ind w:left="0"/>
        <w:jc w:val="both"/>
        <w:rPr>
          <w:rFonts w:ascii="Calibri" w:hAnsi="Calibri" w:cs="Calibri"/>
          <w:lang w:val="sk-SK"/>
        </w:rPr>
      </w:pPr>
    </w:p>
    <w:bookmarkEnd w:id="15"/>
    <w:p w14:paraId="2AB8742A" w14:textId="59F3EA4E" w:rsidR="00EB7B07" w:rsidRPr="00D5483B" w:rsidDel="00EF2051" w:rsidRDefault="00EB7B07">
      <w:pPr>
        <w:pStyle w:val="Odsekzoznamu"/>
        <w:ind w:left="0" w:firstLine="0"/>
        <w:jc w:val="both"/>
        <w:rPr>
          <w:rFonts w:ascii="Calibri" w:hAnsi="Calibri" w:cs="Calibri"/>
          <w:lang w:val="sk-SK"/>
        </w:rPr>
      </w:pPr>
    </w:p>
    <w:p w14:paraId="0268561E" w14:textId="7EC46A56" w:rsidR="008C222B" w:rsidRPr="00D5483B" w:rsidDel="00EF2051" w:rsidRDefault="008C222B">
      <w:pPr>
        <w:jc w:val="both"/>
        <w:rPr>
          <w:rFonts w:ascii="Calibri" w:hAnsi="Calibri" w:cs="Calibri"/>
          <w:lang w:val="sk-SK"/>
        </w:rPr>
      </w:pPr>
    </w:p>
    <w:p w14:paraId="77BC7F48" w14:textId="7D708B8A" w:rsidR="008C222B" w:rsidRPr="00D5483B" w:rsidDel="00EF2051" w:rsidRDefault="008C222B">
      <w:pPr>
        <w:jc w:val="center"/>
        <w:rPr>
          <w:rFonts w:ascii="Calibri" w:hAnsi="Calibri" w:cs="Calibri"/>
          <w:b/>
          <w:lang w:val="sk-SK"/>
        </w:rPr>
      </w:pPr>
    </w:p>
    <w:p w14:paraId="156BEAD1" w14:textId="77AE8DAE" w:rsidR="008C222B" w:rsidRPr="00D5483B" w:rsidDel="00EF2051" w:rsidRDefault="008C222B">
      <w:pPr>
        <w:jc w:val="center"/>
        <w:rPr>
          <w:rFonts w:ascii="Calibri" w:hAnsi="Calibri" w:cs="Calibri"/>
          <w:b/>
          <w:lang w:val="sk-SK"/>
        </w:rPr>
      </w:pPr>
    </w:p>
    <w:p w14:paraId="07B7A4BC" w14:textId="3D84802C" w:rsidR="008C222B" w:rsidRPr="00D5483B" w:rsidDel="00EF2051" w:rsidRDefault="008C222B">
      <w:pPr>
        <w:jc w:val="center"/>
        <w:rPr>
          <w:rFonts w:ascii="Calibri" w:hAnsi="Calibri" w:cs="Calibri"/>
          <w:b/>
          <w:lang w:val="sk-SK"/>
        </w:rPr>
      </w:pPr>
    </w:p>
    <w:p w14:paraId="2B376E28" w14:textId="7AFB92F0" w:rsidR="008C222B" w:rsidRPr="00D5483B" w:rsidDel="00EF2051" w:rsidRDefault="008C222B">
      <w:pPr>
        <w:jc w:val="center"/>
        <w:rPr>
          <w:rFonts w:ascii="Calibri" w:hAnsi="Calibri" w:cs="Calibri"/>
          <w:b/>
          <w:lang w:val="sk-SK"/>
        </w:rPr>
      </w:pPr>
    </w:p>
    <w:p w14:paraId="0889AE4E" w14:textId="1C4622FD" w:rsidR="008C222B" w:rsidRPr="00D5483B" w:rsidDel="00EF2051" w:rsidRDefault="008C222B">
      <w:pPr>
        <w:jc w:val="center"/>
        <w:rPr>
          <w:rFonts w:ascii="Calibri" w:hAnsi="Calibri" w:cs="Calibri"/>
          <w:b/>
          <w:lang w:val="sk-SK"/>
        </w:rPr>
      </w:pPr>
    </w:p>
    <w:p w14:paraId="24F09B89" w14:textId="15C1A701" w:rsidR="008C222B" w:rsidRPr="00D5483B" w:rsidDel="00EF2051" w:rsidRDefault="008C222B">
      <w:pPr>
        <w:jc w:val="center"/>
        <w:rPr>
          <w:rFonts w:ascii="Calibri" w:hAnsi="Calibri" w:cs="Calibri"/>
          <w:b/>
          <w:lang w:val="sk-SK"/>
        </w:rPr>
      </w:pPr>
    </w:p>
    <w:p w14:paraId="3D8BAF43" w14:textId="76F7E0A3" w:rsidR="008C222B" w:rsidRPr="00D5483B" w:rsidDel="00EF2051" w:rsidRDefault="008C222B">
      <w:pPr>
        <w:jc w:val="center"/>
        <w:rPr>
          <w:rFonts w:ascii="Calibri" w:hAnsi="Calibri" w:cs="Calibri"/>
          <w:b/>
          <w:lang w:val="sk-SK"/>
        </w:rPr>
      </w:pPr>
    </w:p>
    <w:p w14:paraId="32CF64AC" w14:textId="3B8AD4A7" w:rsidR="008C222B" w:rsidRPr="00D5483B" w:rsidDel="00EF2051" w:rsidRDefault="008C222B">
      <w:pPr>
        <w:jc w:val="center"/>
        <w:rPr>
          <w:rFonts w:ascii="Calibri" w:hAnsi="Calibri" w:cs="Calibri"/>
          <w:b/>
          <w:lang w:val="sk-SK"/>
        </w:rPr>
      </w:pPr>
    </w:p>
    <w:p w14:paraId="5955F153" w14:textId="78F48966" w:rsidR="008C222B" w:rsidRPr="00D5483B" w:rsidDel="00EF2051" w:rsidRDefault="008C222B">
      <w:pPr>
        <w:jc w:val="center"/>
        <w:rPr>
          <w:rFonts w:ascii="Calibri" w:hAnsi="Calibri" w:cs="Calibri"/>
          <w:b/>
          <w:lang w:val="sk-SK"/>
        </w:rPr>
      </w:pPr>
    </w:p>
    <w:p w14:paraId="5117EAFF" w14:textId="2A79AC42" w:rsidR="008C222B" w:rsidRPr="00D5483B" w:rsidDel="00EF2051" w:rsidRDefault="008C222B">
      <w:pPr>
        <w:jc w:val="center"/>
        <w:rPr>
          <w:rFonts w:ascii="Calibri" w:hAnsi="Calibri" w:cs="Calibri"/>
          <w:b/>
          <w:lang w:val="sk-SK"/>
        </w:rPr>
      </w:pPr>
    </w:p>
    <w:p w14:paraId="1D9F1D6B" w14:textId="7E84B6E9" w:rsidR="008C222B" w:rsidRPr="00D5483B" w:rsidDel="00EF2051" w:rsidRDefault="008C222B">
      <w:pPr>
        <w:jc w:val="center"/>
        <w:rPr>
          <w:rFonts w:ascii="Calibri" w:hAnsi="Calibri" w:cs="Calibri"/>
          <w:b/>
          <w:lang w:val="sk-SK"/>
        </w:rPr>
      </w:pPr>
    </w:p>
    <w:p w14:paraId="7C38511B" w14:textId="7247A312" w:rsidR="008C222B" w:rsidRPr="00D5483B" w:rsidDel="00EF2051" w:rsidRDefault="008C222B">
      <w:pPr>
        <w:jc w:val="center"/>
        <w:rPr>
          <w:rFonts w:ascii="Calibri" w:hAnsi="Calibri" w:cs="Calibri"/>
          <w:b/>
          <w:lang w:val="sk-SK"/>
        </w:rPr>
      </w:pPr>
    </w:p>
    <w:p w14:paraId="178C84B4" w14:textId="5DABCF49" w:rsidR="008C222B" w:rsidRPr="00D5483B" w:rsidDel="00EF2051" w:rsidRDefault="008C222B">
      <w:pPr>
        <w:jc w:val="center"/>
        <w:rPr>
          <w:rFonts w:ascii="Calibri" w:hAnsi="Calibri" w:cs="Calibri"/>
          <w:b/>
          <w:lang w:val="sk-SK"/>
        </w:rPr>
      </w:pPr>
    </w:p>
    <w:p w14:paraId="04CBA5AA" w14:textId="1432BE56" w:rsidR="008C222B" w:rsidRPr="00D5483B" w:rsidDel="00EF2051" w:rsidRDefault="008C222B">
      <w:pPr>
        <w:jc w:val="center"/>
        <w:rPr>
          <w:rFonts w:ascii="Calibri" w:hAnsi="Calibri" w:cs="Calibri"/>
          <w:b/>
          <w:lang w:val="sk-SK"/>
        </w:rPr>
      </w:pPr>
    </w:p>
    <w:p w14:paraId="139F2E0C" w14:textId="3A4C3B39" w:rsidR="008C222B" w:rsidRPr="00D5483B" w:rsidDel="00EF2051" w:rsidRDefault="008C222B">
      <w:pPr>
        <w:jc w:val="center"/>
        <w:rPr>
          <w:rFonts w:ascii="Calibri" w:hAnsi="Calibri" w:cs="Calibri"/>
          <w:b/>
          <w:lang w:val="sk-SK"/>
        </w:rPr>
      </w:pPr>
    </w:p>
    <w:p w14:paraId="5CB63A2E" w14:textId="15565F2D" w:rsidR="008C222B" w:rsidRPr="00D5483B" w:rsidDel="00EF2051" w:rsidRDefault="008C222B">
      <w:pPr>
        <w:jc w:val="center"/>
        <w:rPr>
          <w:rFonts w:ascii="Calibri" w:hAnsi="Calibri" w:cs="Calibri"/>
          <w:b/>
          <w:lang w:val="sk-SK"/>
        </w:rPr>
      </w:pPr>
    </w:p>
    <w:p w14:paraId="55E2DCEA" w14:textId="3A67AEC8" w:rsidR="008C222B" w:rsidRPr="00D5483B" w:rsidDel="00EF2051" w:rsidRDefault="008C222B">
      <w:pPr>
        <w:jc w:val="center"/>
        <w:rPr>
          <w:rFonts w:ascii="Calibri" w:hAnsi="Calibri" w:cs="Calibri"/>
          <w:b/>
          <w:lang w:val="sk-SK"/>
        </w:rPr>
      </w:pPr>
    </w:p>
    <w:p w14:paraId="7B41CD8D" w14:textId="533677F0" w:rsidR="008C222B" w:rsidRPr="00D5483B" w:rsidDel="00EF2051" w:rsidRDefault="008C222B">
      <w:pPr>
        <w:jc w:val="center"/>
        <w:rPr>
          <w:rFonts w:ascii="Calibri" w:hAnsi="Calibri" w:cs="Calibri"/>
          <w:b/>
          <w:lang w:val="sk-SK"/>
        </w:rPr>
      </w:pPr>
    </w:p>
    <w:p w14:paraId="2677A48B" w14:textId="31565130" w:rsidR="008C222B" w:rsidRPr="00D5483B" w:rsidDel="00EF2051" w:rsidRDefault="008C222B">
      <w:pPr>
        <w:jc w:val="center"/>
        <w:rPr>
          <w:rFonts w:ascii="Calibri" w:hAnsi="Calibri" w:cs="Calibri"/>
          <w:b/>
          <w:lang w:val="sk-SK"/>
        </w:rPr>
      </w:pPr>
    </w:p>
    <w:p w14:paraId="56F027F6" w14:textId="51DF3601" w:rsidR="008C222B" w:rsidRPr="00D5483B" w:rsidDel="00EF2051" w:rsidRDefault="008C222B">
      <w:pPr>
        <w:jc w:val="center"/>
        <w:rPr>
          <w:rFonts w:ascii="Calibri" w:hAnsi="Calibri" w:cs="Calibri"/>
          <w:b/>
          <w:lang w:val="sk-SK"/>
        </w:rPr>
      </w:pPr>
    </w:p>
    <w:p w14:paraId="5639DC70" w14:textId="2AB55490" w:rsidR="008C222B" w:rsidRPr="00D5483B" w:rsidDel="00EF2051" w:rsidRDefault="008C222B">
      <w:pPr>
        <w:jc w:val="center"/>
        <w:rPr>
          <w:rFonts w:ascii="Calibri" w:hAnsi="Calibri" w:cs="Calibri"/>
          <w:b/>
          <w:lang w:val="sk-SK"/>
        </w:rPr>
      </w:pPr>
    </w:p>
    <w:p w14:paraId="04CA86E3" w14:textId="1181CE12" w:rsidR="008C222B" w:rsidRPr="00D5483B" w:rsidDel="00EF2051" w:rsidRDefault="008C222B">
      <w:pPr>
        <w:jc w:val="center"/>
        <w:rPr>
          <w:rFonts w:ascii="Calibri" w:hAnsi="Calibri" w:cs="Calibri"/>
          <w:b/>
          <w:lang w:val="sk-SK"/>
        </w:rPr>
      </w:pPr>
    </w:p>
    <w:p w14:paraId="68A56FE7" w14:textId="1660C20F" w:rsidR="008C222B" w:rsidRPr="00D5483B" w:rsidDel="00EF2051" w:rsidRDefault="008C222B">
      <w:pPr>
        <w:jc w:val="center"/>
        <w:rPr>
          <w:rFonts w:ascii="Calibri" w:hAnsi="Calibri" w:cs="Calibri"/>
          <w:b/>
          <w:lang w:val="sk-SK"/>
        </w:rPr>
      </w:pPr>
    </w:p>
    <w:p w14:paraId="2DC2EF06" w14:textId="798889B0" w:rsidR="008C222B" w:rsidRPr="00D5483B" w:rsidDel="00EF2051" w:rsidRDefault="008C222B">
      <w:pPr>
        <w:jc w:val="center"/>
        <w:rPr>
          <w:rFonts w:ascii="Calibri" w:hAnsi="Calibri" w:cs="Calibri"/>
          <w:b/>
          <w:lang w:val="sk-SK"/>
        </w:rPr>
      </w:pPr>
    </w:p>
    <w:p w14:paraId="2A58878E" w14:textId="34A39021" w:rsidR="008C222B" w:rsidRPr="00D5483B" w:rsidDel="00EF2051" w:rsidRDefault="008C222B">
      <w:pPr>
        <w:jc w:val="center"/>
        <w:rPr>
          <w:rFonts w:ascii="Calibri" w:hAnsi="Calibri" w:cs="Calibri"/>
          <w:b/>
          <w:lang w:val="sk-SK"/>
        </w:rPr>
      </w:pPr>
    </w:p>
    <w:p w14:paraId="21552C47" w14:textId="5CDE3482" w:rsidR="008C222B" w:rsidRPr="00D5483B" w:rsidDel="00EF2051" w:rsidRDefault="008C222B">
      <w:pPr>
        <w:jc w:val="center"/>
        <w:rPr>
          <w:rFonts w:ascii="Calibri" w:hAnsi="Calibri" w:cs="Calibri"/>
          <w:b/>
          <w:lang w:val="sk-SK"/>
        </w:rPr>
      </w:pPr>
    </w:p>
    <w:p w14:paraId="5B906387" w14:textId="1C2874D4" w:rsidR="008C222B" w:rsidRPr="00D5483B" w:rsidDel="00EF2051" w:rsidRDefault="008C222B">
      <w:pPr>
        <w:jc w:val="center"/>
        <w:rPr>
          <w:rFonts w:ascii="Calibri" w:hAnsi="Calibri" w:cs="Calibri"/>
          <w:b/>
          <w:lang w:val="sk-SK"/>
        </w:rPr>
      </w:pPr>
    </w:p>
    <w:p w14:paraId="151EAB0F" w14:textId="15D237AA" w:rsidR="006F3C93" w:rsidRPr="00D5483B" w:rsidDel="00EF2051" w:rsidRDefault="006F3C93">
      <w:pPr>
        <w:widowControl/>
        <w:autoSpaceDE/>
        <w:autoSpaceDN/>
        <w:rPr>
          <w:rFonts w:ascii="Calibri" w:hAnsi="Calibri" w:cs="Calibri"/>
          <w:b/>
          <w:lang w:val="sk-SK"/>
        </w:rPr>
      </w:pPr>
      <w:r w:rsidRPr="7DAB3223" w:rsidDel="00EF2051">
        <w:rPr>
          <w:rFonts w:ascii="Calibri" w:hAnsi="Calibri" w:cs="Calibri"/>
          <w:b/>
          <w:lang w:val="sk-SK"/>
        </w:rPr>
        <w:br w:type="page"/>
      </w:r>
    </w:p>
    <w:p w14:paraId="222E4504" w14:textId="2EAC40B3" w:rsidR="00EE2BEE" w:rsidRPr="00D5483B" w:rsidDel="00EF2051" w:rsidRDefault="008C222B" w:rsidP="00A936DF">
      <w:pPr>
        <w:jc w:val="center"/>
        <w:rPr>
          <w:rFonts w:ascii="Calibri" w:hAnsi="Calibri" w:cs="Calibri"/>
          <w:b/>
          <w:lang w:val="sk-SK"/>
        </w:rPr>
      </w:pPr>
      <w:r w:rsidRPr="7DAB3223" w:rsidDel="00EF2051">
        <w:rPr>
          <w:rFonts w:ascii="Calibri" w:hAnsi="Calibri" w:cs="Calibri"/>
          <w:b/>
          <w:lang w:val="sk-SK"/>
        </w:rPr>
        <w:t>Príloha č. 3</w:t>
      </w:r>
    </w:p>
    <w:p w14:paraId="0A9BBFF4" w14:textId="1C90A436" w:rsidR="008C222B" w:rsidDel="00EF2051" w:rsidRDefault="008C222B">
      <w:pPr>
        <w:jc w:val="center"/>
        <w:rPr>
          <w:rFonts w:ascii="Calibri" w:hAnsi="Calibri" w:cs="Calibri"/>
          <w:b/>
          <w:lang w:val="sk-SK"/>
        </w:rPr>
      </w:pPr>
      <w:r w:rsidRPr="7DAB3223">
        <w:rPr>
          <w:rFonts w:ascii="Calibri" w:hAnsi="Calibri" w:cs="Calibri"/>
          <w:b/>
          <w:lang w:val="sk-SK"/>
        </w:rPr>
        <w:t>Cena</w:t>
      </w:r>
      <w:r w:rsidR="00704CEB" w:rsidRPr="7DAB3223">
        <w:rPr>
          <w:rFonts w:ascii="Calibri" w:hAnsi="Calibri" w:cs="Calibri"/>
          <w:b/>
          <w:lang w:val="sk-SK"/>
        </w:rPr>
        <w:t xml:space="preserve"> za dodávku elektriny</w:t>
      </w:r>
    </w:p>
    <w:p w14:paraId="45B7833D" w14:textId="72CBF92B" w:rsidR="00DB0BD1" w:rsidDel="00EF2051" w:rsidRDefault="00DB0BD1">
      <w:pPr>
        <w:jc w:val="center"/>
        <w:rPr>
          <w:rFonts w:ascii="Calibri" w:hAnsi="Calibri" w:cs="Calibri"/>
          <w:b/>
          <w:lang w:val="sk-SK"/>
        </w:rPr>
      </w:pPr>
    </w:p>
    <w:p w14:paraId="2BD2CF71" w14:textId="1ED5CFD3" w:rsidR="00DB0BD1" w:rsidRPr="00D5483B" w:rsidDel="00EF2051" w:rsidRDefault="00DB0BD1">
      <w:pPr>
        <w:jc w:val="center"/>
        <w:rPr>
          <w:rFonts w:ascii="Calibri" w:hAnsi="Calibri" w:cs="Calibri"/>
          <w:b/>
          <w:lang w:val="sk-SK"/>
        </w:rPr>
      </w:pPr>
    </w:p>
    <w:p w14:paraId="141F9C1B" w14:textId="541A40DF" w:rsidR="008C222B" w:rsidRPr="00D5483B" w:rsidDel="00EF2051" w:rsidRDefault="008C222B">
      <w:pPr>
        <w:jc w:val="center"/>
        <w:rPr>
          <w:rFonts w:ascii="Calibri" w:hAnsi="Calibri" w:cs="Calibri"/>
          <w:b/>
          <w:lang w:val="sk-SK"/>
        </w:rPr>
      </w:pPr>
    </w:p>
    <w:tbl>
      <w:tblPr>
        <w:tblStyle w:val="Mriekatabuky"/>
        <w:tblW w:w="0" w:type="auto"/>
        <w:jc w:val="center"/>
        <w:tblLook w:val="04A0" w:firstRow="1" w:lastRow="0" w:firstColumn="1" w:lastColumn="0" w:noHBand="0" w:noVBand="1"/>
      </w:tblPr>
      <w:tblGrid>
        <w:gridCol w:w="5240"/>
        <w:gridCol w:w="2977"/>
      </w:tblGrid>
      <w:tr w:rsidR="00DB0BD1" w:rsidRPr="002177DA" w:rsidDel="00EF2051" w14:paraId="68882CE7" w14:textId="2EBB0AD6" w:rsidTr="7DAB3223">
        <w:trPr>
          <w:trHeight w:val="300"/>
          <w:jc w:val="center"/>
        </w:trPr>
        <w:tc>
          <w:tcPr>
            <w:tcW w:w="5240" w:type="dxa"/>
            <w:shd w:val="clear" w:color="auto" w:fill="F2F2F2" w:themeFill="background1" w:themeFillShade="F2"/>
            <w:vAlign w:val="center"/>
          </w:tcPr>
          <w:p w14:paraId="79674D76" w14:textId="57954B98" w:rsidR="00DB0BD1" w:rsidRPr="002177DA" w:rsidDel="00EF2051" w:rsidRDefault="00DB0BD1">
            <w:pPr>
              <w:rPr>
                <w:rFonts w:cstheme="minorHAnsi"/>
                <w:b/>
                <w:bCs/>
                <w:lang w:val="sk-SK"/>
              </w:rPr>
            </w:pPr>
            <w:bookmarkStart w:id="18" w:name="_Hlk103841749"/>
            <w:r w:rsidRPr="002177DA" w:rsidDel="00EF2051">
              <w:rPr>
                <w:rFonts w:cstheme="minorHAnsi"/>
                <w:b/>
                <w:bCs/>
                <w:lang w:val="sk-SK"/>
              </w:rPr>
              <w:t>Špecifikácia ceny</w:t>
            </w:r>
          </w:p>
        </w:tc>
        <w:tc>
          <w:tcPr>
            <w:tcW w:w="2977" w:type="dxa"/>
            <w:shd w:val="clear" w:color="auto" w:fill="F2F2F2" w:themeFill="background1" w:themeFillShade="F2"/>
            <w:vAlign w:val="center"/>
          </w:tcPr>
          <w:p w14:paraId="0AE75A84" w14:textId="7DACAD34" w:rsidR="00DB0BD1" w:rsidRPr="002177DA" w:rsidDel="00EF2051" w:rsidRDefault="00DB0BD1">
            <w:pPr>
              <w:jc w:val="center"/>
              <w:rPr>
                <w:rFonts w:cstheme="minorHAnsi"/>
                <w:b/>
                <w:bCs/>
                <w:lang w:val="sk-SK"/>
              </w:rPr>
            </w:pPr>
            <w:r w:rsidRPr="00666A2D" w:rsidDel="00EF2051">
              <w:rPr>
                <w:rFonts w:cstheme="minorHAnsi"/>
                <w:b/>
                <w:bCs/>
                <w:color w:val="FF0000"/>
                <w:lang w:val="sk-SK"/>
              </w:rPr>
              <w:t>v EUR/MWh bez DPH</w:t>
            </w:r>
          </w:p>
        </w:tc>
      </w:tr>
      <w:tr w:rsidR="00DB0BD1" w:rsidRPr="002177DA" w:rsidDel="00EF2051" w14:paraId="46E7DD54" w14:textId="53367F92">
        <w:trPr>
          <w:trHeight w:val="443"/>
          <w:jc w:val="center"/>
        </w:trPr>
        <w:tc>
          <w:tcPr>
            <w:tcW w:w="5240" w:type="dxa"/>
            <w:vAlign w:val="center"/>
          </w:tcPr>
          <w:p w14:paraId="4B2F878A" w14:textId="7750CA14" w:rsidR="00DB0BD1" w:rsidRPr="002177DA" w:rsidDel="00EF2051" w:rsidRDefault="009F4638">
            <w:pPr>
              <w:rPr>
                <w:rFonts w:cstheme="minorHAnsi"/>
                <w:b/>
                <w:bCs/>
                <w:lang w:val="sk-SK"/>
              </w:rPr>
            </w:pPr>
            <w:r w:rsidRPr="00666A2D">
              <w:rPr>
                <w:rFonts w:cstheme="minorHAnsi"/>
                <w:b/>
                <w:bCs/>
                <w:color w:val="FF0000"/>
                <w:lang w:val="sk-SK"/>
              </w:rPr>
              <w:t>Jednotková c</w:t>
            </w:r>
            <w:r w:rsidR="00DB0BD1" w:rsidRPr="00666A2D" w:rsidDel="00EF2051">
              <w:rPr>
                <w:rFonts w:cstheme="minorHAnsi"/>
                <w:b/>
                <w:bCs/>
                <w:color w:val="FF0000"/>
                <w:lang w:val="sk-SK"/>
              </w:rPr>
              <w:t xml:space="preserve">ena </w:t>
            </w:r>
            <w:r w:rsidRPr="00666A2D">
              <w:rPr>
                <w:rFonts w:cstheme="minorHAnsi"/>
                <w:b/>
                <w:bCs/>
                <w:color w:val="FF0000"/>
                <w:lang w:val="sk-SK"/>
              </w:rPr>
              <w:t>aditívneho koeficientu</w:t>
            </w:r>
            <w:r w:rsidR="00DB0BD1" w:rsidRPr="00666A2D" w:rsidDel="00EF2051">
              <w:rPr>
                <w:rFonts w:cstheme="minorHAnsi"/>
                <w:b/>
                <w:bCs/>
                <w:color w:val="FF0000"/>
                <w:lang w:val="sk-SK"/>
              </w:rPr>
              <w:t xml:space="preserve"> </w:t>
            </w:r>
          </w:p>
        </w:tc>
        <w:tc>
          <w:tcPr>
            <w:tcW w:w="2977" w:type="dxa"/>
          </w:tcPr>
          <w:p w14:paraId="6B35CBF8" w14:textId="77777777" w:rsidR="00DB0BD1" w:rsidRPr="002177DA" w:rsidRDefault="00DB0BD1">
            <w:pPr>
              <w:jc w:val="center"/>
              <w:rPr>
                <w:rFonts w:cstheme="minorHAnsi"/>
                <w:b/>
                <w:bCs/>
                <w:lang w:val="sk-SK"/>
              </w:rPr>
            </w:pPr>
          </w:p>
          <w:p w14:paraId="445EA02C" w14:textId="77777777" w:rsidR="002177DA" w:rsidRPr="002177DA" w:rsidRDefault="002177DA">
            <w:pPr>
              <w:jc w:val="center"/>
              <w:rPr>
                <w:rFonts w:cstheme="minorHAnsi"/>
                <w:b/>
                <w:bCs/>
                <w:lang w:val="sk-SK"/>
              </w:rPr>
            </w:pPr>
          </w:p>
          <w:p w14:paraId="796F8901" w14:textId="0452CB61" w:rsidR="002177DA" w:rsidRPr="002177DA" w:rsidDel="00EF2051" w:rsidRDefault="002177DA">
            <w:pPr>
              <w:jc w:val="center"/>
              <w:rPr>
                <w:rFonts w:cstheme="minorHAnsi"/>
                <w:b/>
                <w:bCs/>
                <w:lang w:val="sk-SK"/>
              </w:rPr>
            </w:pPr>
          </w:p>
        </w:tc>
      </w:tr>
      <w:bookmarkEnd w:id="18"/>
    </w:tbl>
    <w:p w14:paraId="7631C35B" w14:textId="0C1D0FD9" w:rsidR="00DB0BD1" w:rsidDel="00EF2051" w:rsidRDefault="00DB0BD1">
      <w:pPr>
        <w:widowControl/>
        <w:autoSpaceDE/>
        <w:autoSpaceDN/>
        <w:rPr>
          <w:rFonts w:ascii="Calibri" w:hAnsi="Calibri" w:cs="Calibri"/>
          <w:b/>
          <w:lang w:val="sk-SK"/>
        </w:rPr>
      </w:pPr>
      <w:r w:rsidRPr="7DAB3223" w:rsidDel="00EF2051">
        <w:rPr>
          <w:rFonts w:ascii="Calibri" w:hAnsi="Calibri" w:cs="Calibri"/>
          <w:b/>
          <w:lang w:val="sk-SK"/>
        </w:rPr>
        <w:br w:type="page"/>
      </w:r>
    </w:p>
    <w:p w14:paraId="36B6F3D5" w14:textId="30FAA06E" w:rsidR="004A013D" w:rsidRPr="00D5483B" w:rsidDel="00EF2051" w:rsidRDefault="004A013D">
      <w:pPr>
        <w:widowControl/>
        <w:autoSpaceDE/>
        <w:autoSpaceDN/>
        <w:rPr>
          <w:rFonts w:ascii="Calibri" w:hAnsi="Calibri" w:cs="Calibri"/>
          <w:b/>
          <w:lang w:val="sk-SK"/>
        </w:rPr>
      </w:pPr>
    </w:p>
    <w:p w14:paraId="03337A26" w14:textId="22F47D77" w:rsidR="008C222B" w:rsidRPr="00D5483B" w:rsidDel="00EF2051" w:rsidRDefault="008C222B" w:rsidP="00A936DF">
      <w:pPr>
        <w:jc w:val="center"/>
        <w:rPr>
          <w:rFonts w:ascii="Calibri" w:hAnsi="Calibri" w:cs="Calibri"/>
          <w:b/>
          <w:lang w:val="sk-SK"/>
        </w:rPr>
      </w:pPr>
      <w:r w:rsidRPr="7DAB3223" w:rsidDel="00EF2051">
        <w:rPr>
          <w:rFonts w:ascii="Calibri" w:hAnsi="Calibri" w:cs="Calibri"/>
          <w:b/>
          <w:lang w:val="sk-SK"/>
        </w:rPr>
        <w:t>Príloha č. 4</w:t>
      </w:r>
    </w:p>
    <w:p w14:paraId="68E1B9AD" w14:textId="1E8A741C" w:rsidR="008C222B" w:rsidRPr="00D5483B" w:rsidDel="00EF2051" w:rsidRDefault="008C222B">
      <w:pPr>
        <w:jc w:val="center"/>
        <w:rPr>
          <w:rFonts w:ascii="Calibri" w:hAnsi="Calibri" w:cs="Calibri"/>
          <w:b/>
          <w:lang w:val="sk-SK"/>
        </w:rPr>
      </w:pPr>
      <w:r w:rsidRPr="7DAB3223" w:rsidDel="00EF2051">
        <w:rPr>
          <w:rFonts w:ascii="Calibri" w:hAnsi="Calibri" w:cs="Calibri"/>
          <w:b/>
          <w:lang w:val="sk-SK"/>
        </w:rPr>
        <w:t>Povolenia a vyhlásenia</w:t>
      </w:r>
    </w:p>
    <w:p w14:paraId="369D12B1" w14:textId="75A26B04" w:rsidR="008C222B" w:rsidRPr="00D5483B" w:rsidDel="00EF2051" w:rsidRDefault="008C222B">
      <w:pPr>
        <w:rPr>
          <w:rFonts w:ascii="Calibri" w:hAnsi="Calibri" w:cs="Calibri"/>
          <w:lang w:val="sk-SK"/>
        </w:rPr>
      </w:pPr>
    </w:p>
    <w:p w14:paraId="42E2EFE9" w14:textId="174CC16A" w:rsidR="008C222B" w:rsidRPr="00D5483B" w:rsidDel="00EF2051" w:rsidRDefault="008C222B">
      <w:pPr>
        <w:rPr>
          <w:rFonts w:ascii="Calibri" w:hAnsi="Calibri" w:cs="Calibri"/>
          <w:lang w:val="sk-SK"/>
        </w:rPr>
      </w:pPr>
    </w:p>
    <w:p w14:paraId="171A8ECB" w14:textId="6B086E98" w:rsidR="008C222B" w:rsidRPr="00D5483B" w:rsidDel="00EF2051" w:rsidRDefault="008C222B">
      <w:pPr>
        <w:rPr>
          <w:rFonts w:ascii="Calibri" w:hAnsi="Calibri" w:cs="Calibri"/>
          <w:lang w:val="sk-SK"/>
        </w:rPr>
      </w:pPr>
    </w:p>
    <w:p w14:paraId="70E4D0B8" w14:textId="2FCF6ED4" w:rsidR="008C222B" w:rsidRPr="00D5483B" w:rsidDel="00EF2051" w:rsidRDefault="008C222B">
      <w:pPr>
        <w:rPr>
          <w:rFonts w:ascii="Calibri" w:hAnsi="Calibri" w:cs="Calibri"/>
          <w:lang w:val="sk-SK"/>
        </w:rPr>
      </w:pPr>
    </w:p>
    <w:p w14:paraId="15280DEB" w14:textId="43B7E177" w:rsidR="008C222B" w:rsidRPr="00D5483B" w:rsidDel="00EF2051" w:rsidRDefault="008C222B">
      <w:pPr>
        <w:rPr>
          <w:rFonts w:ascii="Calibri" w:hAnsi="Calibri" w:cs="Calibri"/>
          <w:lang w:val="sk-SK"/>
        </w:rPr>
      </w:pPr>
    </w:p>
    <w:p w14:paraId="3CAAB994" w14:textId="7D652BBB" w:rsidR="008C222B" w:rsidRPr="00D5483B" w:rsidDel="00EF2051" w:rsidRDefault="008C222B">
      <w:pPr>
        <w:rPr>
          <w:rFonts w:ascii="Calibri" w:hAnsi="Calibri" w:cs="Calibri"/>
          <w:lang w:val="sk-SK"/>
        </w:rPr>
      </w:pPr>
    </w:p>
    <w:p w14:paraId="7C9E27FF" w14:textId="6CDAF965" w:rsidR="008C222B" w:rsidRPr="00D5483B" w:rsidDel="00EF2051" w:rsidRDefault="008C222B">
      <w:pPr>
        <w:rPr>
          <w:rFonts w:ascii="Calibri" w:hAnsi="Calibri" w:cs="Calibri"/>
          <w:lang w:val="sk-SK"/>
        </w:rPr>
      </w:pPr>
    </w:p>
    <w:p w14:paraId="5A715B8B" w14:textId="25BD0B12" w:rsidR="008C222B" w:rsidRPr="00D5483B" w:rsidDel="00EF2051" w:rsidRDefault="008C222B">
      <w:pPr>
        <w:rPr>
          <w:rFonts w:ascii="Calibri" w:hAnsi="Calibri" w:cs="Calibri"/>
          <w:lang w:val="sk-SK"/>
        </w:rPr>
      </w:pPr>
    </w:p>
    <w:p w14:paraId="49D1D1B7" w14:textId="1E473D4F" w:rsidR="008C222B" w:rsidRPr="00D5483B" w:rsidDel="00EF2051" w:rsidRDefault="008C222B">
      <w:pPr>
        <w:rPr>
          <w:rFonts w:ascii="Calibri" w:hAnsi="Calibri" w:cs="Calibri"/>
          <w:lang w:val="sk-SK"/>
        </w:rPr>
      </w:pPr>
    </w:p>
    <w:p w14:paraId="11673ABE" w14:textId="280991DF" w:rsidR="008C222B" w:rsidRPr="00D5483B" w:rsidDel="00EF2051" w:rsidRDefault="008C222B">
      <w:pPr>
        <w:rPr>
          <w:rFonts w:ascii="Calibri" w:hAnsi="Calibri" w:cs="Calibri"/>
          <w:lang w:val="sk-SK"/>
        </w:rPr>
      </w:pPr>
    </w:p>
    <w:p w14:paraId="404535A8" w14:textId="640108F5" w:rsidR="008C222B" w:rsidRPr="00D5483B" w:rsidDel="00EF2051" w:rsidRDefault="008C222B">
      <w:pPr>
        <w:rPr>
          <w:rFonts w:ascii="Calibri" w:hAnsi="Calibri" w:cs="Calibri"/>
          <w:lang w:val="sk-SK"/>
        </w:rPr>
      </w:pPr>
    </w:p>
    <w:p w14:paraId="3A28556F" w14:textId="25A0C54C" w:rsidR="008C222B" w:rsidRPr="00D5483B" w:rsidDel="00EF2051" w:rsidRDefault="008C222B">
      <w:pPr>
        <w:rPr>
          <w:rFonts w:ascii="Calibri" w:hAnsi="Calibri" w:cs="Calibri"/>
          <w:lang w:val="sk-SK"/>
        </w:rPr>
      </w:pPr>
    </w:p>
    <w:p w14:paraId="38625047" w14:textId="5E98D0AD" w:rsidR="008C222B" w:rsidRPr="00D5483B" w:rsidDel="00EF2051" w:rsidRDefault="008C222B">
      <w:pPr>
        <w:rPr>
          <w:rFonts w:ascii="Calibri" w:hAnsi="Calibri" w:cs="Calibri"/>
          <w:lang w:val="sk-SK"/>
        </w:rPr>
      </w:pPr>
    </w:p>
    <w:p w14:paraId="2EAE7C2D" w14:textId="0307B18A" w:rsidR="008C222B" w:rsidRPr="00D5483B" w:rsidDel="00EF2051" w:rsidRDefault="008C222B">
      <w:pPr>
        <w:rPr>
          <w:rFonts w:ascii="Calibri" w:hAnsi="Calibri" w:cs="Calibri"/>
          <w:lang w:val="sk-SK"/>
        </w:rPr>
      </w:pPr>
    </w:p>
    <w:p w14:paraId="76DE8FA7" w14:textId="16177428" w:rsidR="008C222B" w:rsidRPr="00D5483B" w:rsidDel="00EF2051" w:rsidRDefault="008C222B">
      <w:pPr>
        <w:rPr>
          <w:rFonts w:ascii="Calibri" w:hAnsi="Calibri" w:cs="Calibri"/>
          <w:lang w:val="sk-SK"/>
        </w:rPr>
      </w:pPr>
    </w:p>
    <w:p w14:paraId="5339FA8B" w14:textId="79C55E97" w:rsidR="008C222B" w:rsidRPr="00D5483B" w:rsidDel="00EF2051" w:rsidRDefault="008C222B">
      <w:pPr>
        <w:rPr>
          <w:rFonts w:ascii="Calibri" w:hAnsi="Calibri" w:cs="Calibri"/>
          <w:lang w:val="sk-SK"/>
        </w:rPr>
      </w:pPr>
    </w:p>
    <w:p w14:paraId="724D9084" w14:textId="3DE67280" w:rsidR="008C222B" w:rsidRPr="00D5483B" w:rsidDel="00EF2051" w:rsidRDefault="008C222B">
      <w:pPr>
        <w:rPr>
          <w:rFonts w:ascii="Calibri" w:hAnsi="Calibri" w:cs="Calibri"/>
          <w:lang w:val="sk-SK"/>
        </w:rPr>
      </w:pPr>
    </w:p>
    <w:p w14:paraId="24AE18FB" w14:textId="5D4D3EA7" w:rsidR="008C222B" w:rsidRPr="00D5483B" w:rsidDel="00EF2051" w:rsidRDefault="008C222B">
      <w:pPr>
        <w:rPr>
          <w:rFonts w:ascii="Calibri" w:hAnsi="Calibri" w:cs="Calibri"/>
          <w:lang w:val="sk-SK"/>
        </w:rPr>
      </w:pPr>
    </w:p>
    <w:p w14:paraId="460126EE" w14:textId="62A0C5D1" w:rsidR="008C222B" w:rsidRPr="00D5483B" w:rsidDel="00EF2051" w:rsidRDefault="008C222B">
      <w:pPr>
        <w:rPr>
          <w:rFonts w:ascii="Calibri" w:hAnsi="Calibri" w:cs="Calibri"/>
          <w:lang w:val="sk-SK"/>
        </w:rPr>
      </w:pPr>
    </w:p>
    <w:p w14:paraId="353F58D2" w14:textId="5158C5D2" w:rsidR="008C222B" w:rsidRPr="00D5483B" w:rsidDel="00EF2051" w:rsidRDefault="008C222B">
      <w:pPr>
        <w:rPr>
          <w:rFonts w:ascii="Calibri" w:hAnsi="Calibri" w:cs="Calibri"/>
          <w:lang w:val="sk-SK"/>
        </w:rPr>
      </w:pPr>
    </w:p>
    <w:p w14:paraId="5A3F3A64" w14:textId="716E2DBA" w:rsidR="008C222B" w:rsidRPr="00D5483B" w:rsidDel="00EF2051" w:rsidRDefault="008C222B">
      <w:pPr>
        <w:rPr>
          <w:rFonts w:ascii="Calibri" w:hAnsi="Calibri" w:cs="Calibri"/>
          <w:lang w:val="sk-SK"/>
        </w:rPr>
      </w:pPr>
    </w:p>
    <w:p w14:paraId="46B000D2" w14:textId="11760591" w:rsidR="008C222B" w:rsidRPr="00D5483B" w:rsidDel="00EF2051" w:rsidRDefault="008C222B">
      <w:pPr>
        <w:rPr>
          <w:rFonts w:ascii="Calibri" w:hAnsi="Calibri" w:cs="Calibri"/>
          <w:lang w:val="sk-SK"/>
        </w:rPr>
      </w:pPr>
    </w:p>
    <w:p w14:paraId="691C40BE" w14:textId="1692FC7F" w:rsidR="008C222B" w:rsidRPr="00D5483B" w:rsidDel="00EF2051" w:rsidRDefault="008C222B">
      <w:pPr>
        <w:rPr>
          <w:rFonts w:ascii="Calibri" w:hAnsi="Calibri" w:cs="Calibri"/>
          <w:lang w:val="sk-SK"/>
        </w:rPr>
      </w:pPr>
    </w:p>
    <w:p w14:paraId="7BECABA9" w14:textId="3EBF29F1" w:rsidR="008C222B" w:rsidRPr="00D5483B" w:rsidDel="00EF2051" w:rsidRDefault="008C222B">
      <w:pPr>
        <w:rPr>
          <w:rFonts w:ascii="Calibri" w:hAnsi="Calibri" w:cs="Calibri"/>
          <w:lang w:val="sk-SK"/>
        </w:rPr>
      </w:pPr>
    </w:p>
    <w:p w14:paraId="41826F26" w14:textId="650F6B39" w:rsidR="008C222B" w:rsidRPr="00D5483B" w:rsidDel="00EF2051" w:rsidRDefault="008C222B">
      <w:pPr>
        <w:rPr>
          <w:rFonts w:ascii="Calibri" w:hAnsi="Calibri" w:cs="Calibri"/>
          <w:lang w:val="sk-SK"/>
        </w:rPr>
      </w:pPr>
    </w:p>
    <w:p w14:paraId="43EEEF47" w14:textId="1E86D6C0" w:rsidR="008C222B" w:rsidRPr="00D5483B" w:rsidDel="00EF2051" w:rsidRDefault="008C222B">
      <w:pPr>
        <w:rPr>
          <w:rFonts w:ascii="Calibri" w:hAnsi="Calibri" w:cs="Calibri"/>
          <w:lang w:val="sk-SK"/>
        </w:rPr>
      </w:pPr>
    </w:p>
    <w:p w14:paraId="405E54E7" w14:textId="5F829256" w:rsidR="008C222B" w:rsidRPr="00D5483B" w:rsidDel="00EF2051" w:rsidRDefault="008C222B">
      <w:pPr>
        <w:rPr>
          <w:rFonts w:ascii="Calibri" w:hAnsi="Calibri" w:cs="Calibri"/>
          <w:lang w:val="sk-SK"/>
        </w:rPr>
      </w:pPr>
    </w:p>
    <w:p w14:paraId="7DEC0126" w14:textId="7E5C1E51" w:rsidR="008C222B" w:rsidRPr="00D5483B" w:rsidDel="00EF2051" w:rsidRDefault="008C222B">
      <w:pPr>
        <w:rPr>
          <w:rFonts w:ascii="Calibri" w:hAnsi="Calibri" w:cs="Calibri"/>
          <w:lang w:val="sk-SK"/>
        </w:rPr>
      </w:pPr>
    </w:p>
    <w:p w14:paraId="61F509D6" w14:textId="27C58016" w:rsidR="008C222B" w:rsidRPr="00D5483B" w:rsidDel="00EF2051" w:rsidRDefault="008C222B">
      <w:pPr>
        <w:rPr>
          <w:rFonts w:ascii="Calibri" w:hAnsi="Calibri" w:cs="Calibri"/>
          <w:lang w:val="sk-SK"/>
        </w:rPr>
      </w:pPr>
    </w:p>
    <w:p w14:paraId="10873A7A" w14:textId="3CB018F8" w:rsidR="008C222B" w:rsidRPr="00D5483B" w:rsidDel="00EF2051" w:rsidRDefault="008C222B">
      <w:pPr>
        <w:rPr>
          <w:rFonts w:ascii="Calibri" w:hAnsi="Calibri" w:cs="Calibri"/>
          <w:lang w:val="sk-SK"/>
        </w:rPr>
      </w:pPr>
    </w:p>
    <w:p w14:paraId="2EDB04BB" w14:textId="1916D0A1" w:rsidR="008C222B" w:rsidRPr="00D5483B" w:rsidDel="00EF2051" w:rsidRDefault="008C222B">
      <w:pPr>
        <w:rPr>
          <w:rFonts w:ascii="Calibri" w:hAnsi="Calibri" w:cs="Calibri"/>
          <w:lang w:val="sk-SK"/>
        </w:rPr>
      </w:pPr>
    </w:p>
    <w:p w14:paraId="23514C6F" w14:textId="4E2D5E9C" w:rsidR="008C222B" w:rsidRPr="00D5483B" w:rsidDel="00EF2051" w:rsidRDefault="008C222B">
      <w:pPr>
        <w:rPr>
          <w:rFonts w:ascii="Calibri" w:hAnsi="Calibri" w:cs="Calibri"/>
          <w:lang w:val="sk-SK"/>
        </w:rPr>
      </w:pPr>
    </w:p>
    <w:p w14:paraId="00EDF148" w14:textId="4E75EE6B" w:rsidR="008C222B" w:rsidRPr="00D5483B" w:rsidDel="00EF2051" w:rsidRDefault="008C222B">
      <w:pPr>
        <w:rPr>
          <w:rFonts w:ascii="Calibri" w:hAnsi="Calibri" w:cs="Calibri"/>
          <w:lang w:val="sk-SK"/>
        </w:rPr>
      </w:pPr>
    </w:p>
    <w:p w14:paraId="434DF80D" w14:textId="4EEBD02F" w:rsidR="008C222B" w:rsidRPr="00D5483B" w:rsidDel="00EF2051" w:rsidRDefault="008C222B">
      <w:pPr>
        <w:rPr>
          <w:rFonts w:ascii="Calibri" w:hAnsi="Calibri" w:cs="Calibri"/>
          <w:lang w:val="sk-SK"/>
        </w:rPr>
      </w:pPr>
    </w:p>
    <w:p w14:paraId="2131DA99" w14:textId="12FB6C9D" w:rsidR="008C222B" w:rsidRPr="00D5483B" w:rsidDel="00EF2051" w:rsidRDefault="008C222B">
      <w:pPr>
        <w:rPr>
          <w:rFonts w:ascii="Calibri" w:hAnsi="Calibri" w:cs="Calibri"/>
          <w:lang w:val="sk-SK"/>
        </w:rPr>
      </w:pPr>
    </w:p>
    <w:p w14:paraId="109BF6A7" w14:textId="4626CFEF" w:rsidR="008C222B" w:rsidRPr="00D5483B" w:rsidDel="00EF2051" w:rsidRDefault="008C222B">
      <w:pPr>
        <w:rPr>
          <w:rFonts w:ascii="Calibri" w:hAnsi="Calibri" w:cs="Calibri"/>
          <w:lang w:val="sk-SK"/>
        </w:rPr>
      </w:pPr>
    </w:p>
    <w:p w14:paraId="4A521AB1" w14:textId="481B87C1" w:rsidR="008C222B" w:rsidRPr="00D5483B" w:rsidDel="00EF2051" w:rsidRDefault="008C222B">
      <w:pPr>
        <w:rPr>
          <w:rFonts w:ascii="Calibri" w:hAnsi="Calibri" w:cs="Calibri"/>
          <w:lang w:val="sk-SK"/>
        </w:rPr>
      </w:pPr>
    </w:p>
    <w:p w14:paraId="4AD6D0B7" w14:textId="34D7910C" w:rsidR="008C222B" w:rsidRPr="00D5483B" w:rsidDel="00EF2051" w:rsidRDefault="008C222B">
      <w:pPr>
        <w:rPr>
          <w:rFonts w:ascii="Calibri" w:hAnsi="Calibri" w:cs="Calibri"/>
          <w:lang w:val="sk-SK"/>
        </w:rPr>
      </w:pPr>
    </w:p>
    <w:p w14:paraId="2E11E335" w14:textId="7FF5DBF7" w:rsidR="008C222B" w:rsidRPr="00D5483B" w:rsidDel="00EF2051" w:rsidRDefault="008C222B">
      <w:pPr>
        <w:rPr>
          <w:rFonts w:ascii="Calibri" w:hAnsi="Calibri" w:cs="Calibri"/>
          <w:lang w:val="sk-SK"/>
        </w:rPr>
      </w:pPr>
    </w:p>
    <w:p w14:paraId="7F464337" w14:textId="5E8BEFBD" w:rsidR="008C222B" w:rsidRPr="00D5483B" w:rsidDel="00EF2051" w:rsidRDefault="008C222B">
      <w:pPr>
        <w:rPr>
          <w:rFonts w:ascii="Calibri" w:hAnsi="Calibri" w:cs="Calibri"/>
          <w:lang w:val="sk-SK"/>
        </w:rPr>
      </w:pPr>
    </w:p>
    <w:p w14:paraId="458D8273" w14:textId="09B52475" w:rsidR="008C222B" w:rsidRPr="00D5483B" w:rsidDel="00EF2051" w:rsidRDefault="008C222B">
      <w:pPr>
        <w:rPr>
          <w:rFonts w:ascii="Calibri" w:hAnsi="Calibri" w:cs="Calibri"/>
          <w:lang w:val="sk-SK"/>
        </w:rPr>
      </w:pPr>
    </w:p>
    <w:p w14:paraId="60D25E27" w14:textId="07464AFB" w:rsidR="008C222B" w:rsidRPr="00D5483B" w:rsidDel="00EF2051" w:rsidRDefault="008C222B">
      <w:pPr>
        <w:rPr>
          <w:rFonts w:ascii="Calibri" w:hAnsi="Calibri" w:cs="Calibri"/>
          <w:lang w:val="sk-SK"/>
        </w:rPr>
      </w:pPr>
    </w:p>
    <w:p w14:paraId="0172D8FC" w14:textId="4157085C" w:rsidR="008C222B" w:rsidRPr="00D5483B" w:rsidDel="00EF2051" w:rsidRDefault="008C222B">
      <w:pPr>
        <w:rPr>
          <w:rFonts w:ascii="Calibri" w:hAnsi="Calibri" w:cs="Calibri"/>
          <w:lang w:val="sk-SK"/>
        </w:rPr>
      </w:pPr>
    </w:p>
    <w:p w14:paraId="2DFAF4B8" w14:textId="34ACAC96" w:rsidR="008C222B" w:rsidRPr="00D5483B" w:rsidDel="00EF2051" w:rsidRDefault="008C222B">
      <w:pPr>
        <w:rPr>
          <w:rFonts w:ascii="Calibri" w:hAnsi="Calibri" w:cs="Calibri"/>
          <w:lang w:val="sk-SK"/>
        </w:rPr>
      </w:pPr>
    </w:p>
    <w:p w14:paraId="0F8B0107" w14:textId="4B32A926" w:rsidR="008C222B" w:rsidRPr="00D5483B" w:rsidDel="00EF2051" w:rsidRDefault="008C222B">
      <w:pPr>
        <w:rPr>
          <w:rFonts w:ascii="Calibri" w:hAnsi="Calibri" w:cs="Calibri"/>
          <w:lang w:val="sk-SK"/>
        </w:rPr>
      </w:pPr>
    </w:p>
    <w:p w14:paraId="62B321C6" w14:textId="06200504" w:rsidR="008C222B" w:rsidRPr="00D5483B" w:rsidDel="00EF2051" w:rsidRDefault="008C222B">
      <w:pPr>
        <w:rPr>
          <w:rFonts w:ascii="Calibri" w:hAnsi="Calibri" w:cs="Calibri"/>
          <w:lang w:val="sk-SK"/>
        </w:rPr>
      </w:pPr>
    </w:p>
    <w:p w14:paraId="0D23A248" w14:textId="4A8633AB" w:rsidR="008C222B" w:rsidRPr="00D5483B" w:rsidDel="00EF2051" w:rsidRDefault="008C222B">
      <w:pPr>
        <w:rPr>
          <w:rFonts w:ascii="Calibri" w:hAnsi="Calibri" w:cs="Calibri"/>
          <w:lang w:val="sk-SK"/>
        </w:rPr>
      </w:pPr>
    </w:p>
    <w:p w14:paraId="2B154AD2" w14:textId="7291096B" w:rsidR="008C222B" w:rsidRPr="00D5483B" w:rsidDel="00EF2051" w:rsidRDefault="008C222B">
      <w:pPr>
        <w:rPr>
          <w:rFonts w:ascii="Calibri" w:hAnsi="Calibri" w:cs="Calibri"/>
          <w:lang w:val="sk-SK"/>
        </w:rPr>
      </w:pPr>
    </w:p>
    <w:p w14:paraId="6AE429A3" w14:textId="283A03EB" w:rsidR="008C222B" w:rsidRPr="00D5483B" w:rsidDel="00EF2051" w:rsidRDefault="008C222B">
      <w:pPr>
        <w:rPr>
          <w:rFonts w:ascii="Calibri" w:hAnsi="Calibri" w:cs="Calibri"/>
          <w:lang w:val="sk-SK"/>
        </w:rPr>
      </w:pPr>
    </w:p>
    <w:p w14:paraId="10E77239" w14:textId="1B3C165B" w:rsidR="005F7BE8" w:rsidRPr="00D5483B" w:rsidDel="00EF2051" w:rsidRDefault="005F7BE8">
      <w:pPr>
        <w:widowControl/>
        <w:autoSpaceDE/>
        <w:autoSpaceDN/>
        <w:rPr>
          <w:rFonts w:ascii="Calibri" w:hAnsi="Calibri" w:cs="Calibri"/>
          <w:b/>
          <w:lang w:val="sk-SK"/>
        </w:rPr>
      </w:pPr>
      <w:bookmarkStart w:id="19" w:name="OLE_LINK84"/>
      <w:r w:rsidRPr="7DAB3223" w:rsidDel="00EF2051">
        <w:rPr>
          <w:rFonts w:ascii="Calibri" w:hAnsi="Calibri" w:cs="Calibri"/>
          <w:b/>
          <w:lang w:val="sk-SK"/>
        </w:rPr>
        <w:br w:type="page"/>
      </w:r>
    </w:p>
    <w:p w14:paraId="05EE38BD" w14:textId="4F9B933D" w:rsidR="008C222B" w:rsidRPr="00D5483B" w:rsidDel="00EF2051" w:rsidRDefault="008C222B" w:rsidP="00A936DF">
      <w:pPr>
        <w:jc w:val="center"/>
        <w:rPr>
          <w:rFonts w:ascii="Calibri" w:hAnsi="Calibri" w:cs="Calibri"/>
          <w:b/>
          <w:lang w:val="sk-SK"/>
        </w:rPr>
      </w:pPr>
      <w:r w:rsidRPr="7DAB3223" w:rsidDel="00EF2051">
        <w:rPr>
          <w:rFonts w:ascii="Calibri" w:hAnsi="Calibri" w:cs="Calibri"/>
          <w:b/>
          <w:lang w:val="sk-SK"/>
        </w:rPr>
        <w:t>Príloha č. 5</w:t>
      </w:r>
      <w:bookmarkEnd w:id="19"/>
    </w:p>
    <w:p w14:paraId="1F035C44" w14:textId="467FBF2A" w:rsidR="008C222B" w:rsidRPr="00D5483B" w:rsidDel="00EF2051" w:rsidRDefault="008C222B">
      <w:pPr>
        <w:jc w:val="center"/>
        <w:rPr>
          <w:rFonts w:ascii="Calibri" w:hAnsi="Calibri" w:cs="Calibri"/>
          <w:lang w:val="sk-SK"/>
        </w:rPr>
      </w:pPr>
      <w:r w:rsidRPr="7DAB3223" w:rsidDel="00EF2051">
        <w:rPr>
          <w:rFonts w:ascii="Calibri" w:hAnsi="Calibri" w:cs="Calibri"/>
          <w:b/>
          <w:lang w:val="sk-SK"/>
        </w:rPr>
        <w:t>Zoznam subdodávateľov Poskytovateľa</w:t>
      </w:r>
    </w:p>
    <w:p w14:paraId="5EF7599E" w14:textId="11150040" w:rsidR="0077705E" w:rsidRPr="002D2457" w:rsidDel="00EF2051" w:rsidRDefault="0077705E">
      <w:pPr>
        <w:widowControl/>
        <w:autoSpaceDE/>
        <w:autoSpaceDN/>
        <w:rPr>
          <w:rFonts w:cstheme="minorHAnsi"/>
          <w:lang w:val="sk-SK"/>
        </w:rPr>
      </w:pPr>
    </w:p>
    <w:p w14:paraId="31F4F169" w14:textId="687C4752" w:rsidR="00DB0BD1" w:rsidRPr="002D2457" w:rsidDel="00EF2051" w:rsidRDefault="00DB0BD1">
      <w:pPr>
        <w:jc w:val="both"/>
        <w:rPr>
          <w:rFonts w:cstheme="minorHAnsi"/>
          <w:lang w:val="sk-SK"/>
        </w:rPr>
      </w:pPr>
      <w:r w:rsidRPr="002D2457" w:rsidDel="00EF2051">
        <w:rPr>
          <w:rFonts w:cstheme="minorHAnsi"/>
          <w:lang w:val="sk-SK"/>
        </w:rPr>
        <w:t>Údaje o všetkých známych subdodávateľoch poskytovateľa, ktorí sú známi v čase predkladania ponuky a údaje o osobe oprávnenej konať za subdodávateľa v rozsahu meno a priezvisko, adresa pobytu, dátum narodenia:</w:t>
      </w:r>
    </w:p>
    <w:p w14:paraId="08A2A267" w14:textId="605640CD" w:rsidR="00DB0BD1" w:rsidRPr="002D2457" w:rsidDel="00EF2051" w:rsidRDefault="00DB0BD1">
      <w:pPr>
        <w:jc w:val="both"/>
        <w:rPr>
          <w:rFonts w:cstheme="minorHAnsi"/>
          <w:lang w:val="sk-SK"/>
        </w:rPr>
      </w:pPr>
    </w:p>
    <w:p w14:paraId="1CDE15E0" w14:textId="1301F2CD" w:rsidR="00DB0BD1" w:rsidRPr="002C21D4" w:rsidDel="00EF2051" w:rsidRDefault="00DB0BD1">
      <w:pPr>
        <w:jc w:val="both"/>
        <w:rPr>
          <w:rFonts w:ascii="Arial Narrow" w:hAnsi="Arial Narrow"/>
          <w:lang w:val="sk-SK"/>
        </w:rPr>
      </w:pPr>
    </w:p>
    <w:tbl>
      <w:tblPr>
        <w:tblW w:w="921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70" w:type="dxa"/>
          <w:right w:w="70" w:type="dxa"/>
        </w:tblCellMar>
        <w:tblLook w:val="04A0" w:firstRow="1" w:lastRow="0" w:firstColumn="1" w:lastColumn="0" w:noHBand="0" w:noVBand="1"/>
      </w:tblPr>
      <w:tblGrid>
        <w:gridCol w:w="1560"/>
        <w:gridCol w:w="1559"/>
        <w:gridCol w:w="992"/>
        <w:gridCol w:w="2977"/>
        <w:gridCol w:w="2126"/>
      </w:tblGrid>
      <w:tr w:rsidR="00DF2E33" w:rsidRPr="002D2457" w:rsidDel="00EF2051" w14:paraId="7E13ABAC" w14:textId="0E317581" w:rsidTr="00BE1FBA">
        <w:trPr>
          <w:trHeight w:val="749"/>
        </w:trPr>
        <w:tc>
          <w:tcPr>
            <w:tcW w:w="156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00D04BDC" w:rsidR="00DF2E33" w:rsidRPr="002D2457" w:rsidDel="00EF2051" w:rsidRDefault="00DF2E33">
            <w:pPr>
              <w:jc w:val="center"/>
              <w:rPr>
                <w:rFonts w:cstheme="minorHAnsi"/>
                <w:b/>
                <w:bCs/>
                <w:color w:val="000000"/>
                <w:lang w:val="sk-SK" w:eastAsia="sk-SK"/>
              </w:rPr>
            </w:pPr>
            <w:r w:rsidRPr="002D2457" w:rsidDel="00EF2051">
              <w:rPr>
                <w:rFonts w:cstheme="minorHAnsi"/>
                <w:b/>
                <w:color w:val="000000" w:themeColor="text1"/>
                <w:lang w:val="sk-SK" w:eastAsia="sk-SK"/>
              </w:rPr>
              <w:t>názov</w:t>
            </w:r>
          </w:p>
        </w:tc>
        <w:tc>
          <w:tcPr>
            <w:tcW w:w="155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ED7E99" w:rsidR="00DF2E33" w:rsidRPr="002D2457" w:rsidDel="00EF2051" w:rsidRDefault="00DF2E33">
            <w:pPr>
              <w:jc w:val="center"/>
              <w:rPr>
                <w:rFonts w:cstheme="minorHAnsi"/>
                <w:b/>
                <w:bCs/>
                <w:color w:val="000000"/>
                <w:lang w:val="sk-SK" w:eastAsia="sk-SK"/>
              </w:rPr>
            </w:pPr>
            <w:r w:rsidRPr="002D2457" w:rsidDel="00EF2051">
              <w:rPr>
                <w:rFonts w:cstheme="minorHAnsi"/>
                <w:b/>
                <w:color w:val="000000" w:themeColor="text1"/>
                <w:lang w:val="sk-SK" w:eastAsia="sk-SK"/>
              </w:rPr>
              <w:t>sídlo</w:t>
            </w:r>
          </w:p>
        </w:tc>
        <w:tc>
          <w:tcPr>
            <w:tcW w:w="992"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5508A7ED" w:rsidR="00DF2E33" w:rsidRPr="002D2457" w:rsidDel="00EF2051" w:rsidRDefault="00DF2E33">
            <w:pPr>
              <w:jc w:val="center"/>
              <w:rPr>
                <w:rFonts w:cstheme="minorHAnsi"/>
                <w:b/>
                <w:bCs/>
                <w:color w:val="000000"/>
                <w:lang w:val="sk-SK" w:eastAsia="sk-SK"/>
              </w:rPr>
            </w:pPr>
            <w:r w:rsidRPr="002D2457" w:rsidDel="00EF2051">
              <w:rPr>
                <w:rFonts w:cstheme="minorHAnsi"/>
                <w:b/>
                <w:color w:val="000000" w:themeColor="text1"/>
                <w:lang w:val="sk-SK" w:eastAsia="sk-SK"/>
              </w:rPr>
              <w:t>IČO</w:t>
            </w:r>
          </w:p>
        </w:tc>
        <w:tc>
          <w:tcPr>
            <w:tcW w:w="2977"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57B15E36" w:rsidR="00DF2E33" w:rsidRPr="002D2457" w:rsidDel="00EF2051" w:rsidRDefault="00DF2E33">
            <w:pPr>
              <w:jc w:val="both"/>
              <w:rPr>
                <w:rFonts w:cstheme="minorHAnsi"/>
                <w:b/>
                <w:bCs/>
                <w:color w:val="000000"/>
                <w:lang w:val="sk-SK" w:eastAsia="sk-SK"/>
              </w:rPr>
            </w:pPr>
            <w:r w:rsidRPr="002D2457" w:rsidDel="00EF2051">
              <w:rPr>
                <w:rFonts w:cstheme="minorHAnsi"/>
                <w:b/>
                <w:color w:val="000000" w:themeColor="text1"/>
                <w:lang w:val="sk-SK" w:eastAsia="sk-SK"/>
              </w:rPr>
              <w:t>Údaje o osobe oprávnenej konať za subdodávateľa v rozsahu meno a priezvisko, adresa pobytu, dátum narodenia</w:t>
            </w:r>
          </w:p>
        </w:tc>
        <w:tc>
          <w:tcPr>
            <w:tcW w:w="2126" w:type="dxa"/>
            <w:tcBorders>
              <w:top w:val="single" w:sz="8" w:space="0" w:color="A6A6A6" w:themeColor="background1" w:themeShade="A6"/>
              <w:bottom w:val="single" w:sz="6" w:space="0" w:color="A6A6A6" w:themeColor="background1" w:themeShade="A6"/>
            </w:tcBorders>
            <w:shd w:val="clear" w:color="auto" w:fill="E7E6E6" w:themeFill="background2"/>
          </w:tcPr>
          <w:p w14:paraId="1A758A9E" w14:textId="445C90CE" w:rsidR="00DF2E33" w:rsidRPr="002D2457" w:rsidDel="00EF2051" w:rsidRDefault="005C3780" w:rsidP="00FE41C0">
            <w:pPr>
              <w:rPr>
                <w:rFonts w:cstheme="minorHAnsi"/>
                <w:b/>
                <w:color w:val="000000" w:themeColor="text1"/>
                <w:lang w:val="sk-SK" w:eastAsia="sk-SK"/>
              </w:rPr>
            </w:pPr>
            <w:r w:rsidRPr="005C3780">
              <w:rPr>
                <w:rFonts w:cstheme="minorHAnsi"/>
                <w:b/>
                <w:color w:val="000000" w:themeColor="text1"/>
                <w:lang w:val="sk-SK" w:eastAsia="sk-SK"/>
              </w:rPr>
              <w:t>Podiel zákazky, ktorý bude  zadaný subdodávateľ</w:t>
            </w:r>
            <w:r w:rsidR="00FE41C0">
              <w:rPr>
                <w:rFonts w:cstheme="minorHAnsi"/>
                <w:b/>
                <w:color w:val="000000" w:themeColor="text1"/>
                <w:lang w:val="sk-SK" w:eastAsia="sk-SK"/>
              </w:rPr>
              <w:t xml:space="preserve">ovi </w:t>
            </w:r>
            <w:r w:rsidRPr="005C3780">
              <w:rPr>
                <w:rFonts w:cstheme="minorHAnsi"/>
                <w:b/>
                <w:color w:val="000000" w:themeColor="text1"/>
                <w:lang w:val="sk-SK" w:eastAsia="sk-SK"/>
              </w:rPr>
              <w:t>vyjadrený v %</w:t>
            </w:r>
          </w:p>
        </w:tc>
      </w:tr>
      <w:tr w:rsidR="00DF2E33" w:rsidRPr="002D2457" w:rsidDel="00EF2051" w14:paraId="3313A087" w14:textId="2C8B35BF" w:rsidTr="00BE1FBA">
        <w:trPr>
          <w:trHeight w:val="578"/>
        </w:trPr>
        <w:tc>
          <w:tcPr>
            <w:tcW w:w="1560" w:type="dxa"/>
            <w:tcBorders>
              <w:top w:val="single" w:sz="6" w:space="0" w:color="A6A6A6" w:themeColor="background1" w:themeShade="A6"/>
            </w:tcBorders>
            <w:shd w:val="clear" w:color="auto" w:fill="auto"/>
            <w:vAlign w:val="center"/>
            <w:hideMark/>
          </w:tcPr>
          <w:p w14:paraId="53ADD7D3" w14:textId="52E86437" w:rsidR="00DF2E33" w:rsidRPr="002D2457" w:rsidDel="00EF2051" w:rsidRDefault="00DF2E33">
            <w:pPr>
              <w:rPr>
                <w:rFonts w:cstheme="minorHAnsi"/>
                <w:color w:val="000000"/>
                <w:lang w:val="sk-SK" w:eastAsia="sk-SK"/>
              </w:rPr>
            </w:pPr>
          </w:p>
        </w:tc>
        <w:tc>
          <w:tcPr>
            <w:tcW w:w="1559" w:type="dxa"/>
            <w:tcBorders>
              <w:top w:val="single" w:sz="6" w:space="0" w:color="A6A6A6" w:themeColor="background1" w:themeShade="A6"/>
            </w:tcBorders>
            <w:shd w:val="clear" w:color="auto" w:fill="auto"/>
            <w:vAlign w:val="center"/>
            <w:hideMark/>
          </w:tcPr>
          <w:p w14:paraId="4F3D9AAF" w14:textId="5FEE793B" w:rsidR="00DF2E33" w:rsidRPr="002D2457" w:rsidDel="00EF2051" w:rsidRDefault="00DF2E33">
            <w:pPr>
              <w:rPr>
                <w:rFonts w:cstheme="minorHAnsi"/>
                <w:color w:val="000000"/>
                <w:lang w:val="sk-SK" w:eastAsia="sk-SK"/>
              </w:rPr>
            </w:pPr>
          </w:p>
        </w:tc>
        <w:tc>
          <w:tcPr>
            <w:tcW w:w="992" w:type="dxa"/>
            <w:tcBorders>
              <w:top w:val="single" w:sz="6" w:space="0" w:color="A6A6A6" w:themeColor="background1" w:themeShade="A6"/>
            </w:tcBorders>
            <w:shd w:val="clear" w:color="auto" w:fill="auto"/>
            <w:vAlign w:val="center"/>
            <w:hideMark/>
          </w:tcPr>
          <w:p w14:paraId="09640E09" w14:textId="1AEC3B1D" w:rsidR="00DF2E33" w:rsidRPr="002D2457" w:rsidDel="00EF2051" w:rsidRDefault="00DF2E33">
            <w:pPr>
              <w:rPr>
                <w:rFonts w:cstheme="minorHAnsi"/>
                <w:color w:val="000000"/>
                <w:lang w:val="sk-SK" w:eastAsia="sk-SK"/>
              </w:rPr>
            </w:pPr>
          </w:p>
        </w:tc>
        <w:tc>
          <w:tcPr>
            <w:tcW w:w="2977" w:type="dxa"/>
            <w:tcBorders>
              <w:top w:val="single" w:sz="6" w:space="0" w:color="A6A6A6" w:themeColor="background1" w:themeShade="A6"/>
            </w:tcBorders>
            <w:vAlign w:val="center"/>
          </w:tcPr>
          <w:p w14:paraId="5E7B164E" w14:textId="034B2CDA" w:rsidR="00DF2E33" w:rsidRPr="002D2457" w:rsidDel="00EF2051" w:rsidRDefault="00DF2E33">
            <w:pPr>
              <w:rPr>
                <w:rFonts w:cstheme="minorHAnsi"/>
                <w:iCs/>
                <w:color w:val="000000"/>
                <w:lang w:val="sk-SK" w:eastAsia="sk-SK"/>
              </w:rPr>
            </w:pPr>
          </w:p>
        </w:tc>
        <w:tc>
          <w:tcPr>
            <w:tcW w:w="2126" w:type="dxa"/>
            <w:tcBorders>
              <w:top w:val="single" w:sz="6" w:space="0" w:color="A6A6A6" w:themeColor="background1" w:themeShade="A6"/>
            </w:tcBorders>
          </w:tcPr>
          <w:p w14:paraId="7399BCFF" w14:textId="77777777" w:rsidR="00DF2E33" w:rsidRPr="002D2457" w:rsidDel="00EF2051" w:rsidRDefault="00DF2E33">
            <w:pPr>
              <w:rPr>
                <w:rFonts w:cstheme="minorHAnsi"/>
                <w:iCs/>
                <w:color w:val="000000"/>
                <w:lang w:val="sk-SK" w:eastAsia="sk-SK"/>
              </w:rPr>
            </w:pPr>
          </w:p>
        </w:tc>
      </w:tr>
    </w:tbl>
    <w:p w14:paraId="4C984272" w14:textId="651FB227" w:rsidR="00DB0BD1" w:rsidDel="00EF2051" w:rsidRDefault="00DB0BD1">
      <w:pPr>
        <w:widowControl/>
        <w:autoSpaceDE/>
        <w:autoSpaceDN/>
        <w:rPr>
          <w:rFonts w:ascii="Calibri" w:hAnsi="Calibri" w:cs="Calibri"/>
          <w:lang w:val="sk-SK"/>
        </w:rPr>
      </w:pPr>
      <w:r w:rsidRPr="7DAB3223" w:rsidDel="00EF2051">
        <w:rPr>
          <w:rFonts w:ascii="Calibri" w:hAnsi="Calibri" w:cs="Calibri"/>
          <w:lang w:val="sk-SK"/>
        </w:rPr>
        <w:br w:type="page"/>
      </w:r>
    </w:p>
    <w:p w14:paraId="495AA973" w14:textId="448F9C75" w:rsidR="00DB0BD1" w:rsidRPr="00D5483B" w:rsidDel="00EF2051" w:rsidRDefault="00DB0BD1">
      <w:pPr>
        <w:widowControl/>
        <w:autoSpaceDE/>
        <w:autoSpaceDN/>
        <w:rPr>
          <w:rFonts w:ascii="Calibri" w:hAnsi="Calibri" w:cs="Calibri"/>
          <w:lang w:val="sk-SK"/>
        </w:rPr>
      </w:pPr>
    </w:p>
    <w:p w14:paraId="4306E4C8" w14:textId="11EBDC06" w:rsidR="00D37318" w:rsidRPr="00D5483B" w:rsidDel="00EF2051" w:rsidRDefault="0077705E" w:rsidP="00A936DF">
      <w:pPr>
        <w:jc w:val="center"/>
        <w:rPr>
          <w:rFonts w:ascii="Calibri" w:hAnsi="Calibri" w:cs="Calibri"/>
          <w:b/>
          <w:lang w:val="sk-SK"/>
        </w:rPr>
      </w:pPr>
      <w:bookmarkStart w:id="20" w:name="OLE_LINK83"/>
      <w:r w:rsidRPr="7DAB3223" w:rsidDel="00EF2051">
        <w:rPr>
          <w:rFonts w:ascii="Calibri" w:hAnsi="Calibri" w:cs="Calibri"/>
          <w:b/>
          <w:lang w:val="sk-SK"/>
        </w:rPr>
        <w:t>Príloha č. 6</w:t>
      </w:r>
      <w:bookmarkStart w:id="21" w:name="OLE_LINK85"/>
    </w:p>
    <w:p w14:paraId="4A52CC17" w14:textId="1BBF8D78" w:rsidR="0077705E" w:rsidRPr="00D5483B" w:rsidDel="00EF2051" w:rsidRDefault="005564B7">
      <w:pPr>
        <w:jc w:val="center"/>
        <w:rPr>
          <w:rFonts w:ascii="Calibri" w:hAnsi="Calibri" w:cs="Calibri"/>
          <w:b/>
          <w:lang w:val="sk-SK"/>
        </w:rPr>
      </w:pPr>
      <w:r w:rsidRPr="7DAB3223" w:rsidDel="00EF2051">
        <w:rPr>
          <w:rFonts w:ascii="Calibri" w:hAnsi="Calibri" w:cs="Calibri"/>
          <w:b/>
          <w:lang w:val="sk-SK"/>
        </w:rPr>
        <w:t>Výška</w:t>
      </w:r>
      <w:r w:rsidR="0077705E" w:rsidRPr="7DAB3223" w:rsidDel="00EF2051">
        <w:rPr>
          <w:rFonts w:ascii="Calibri" w:hAnsi="Calibri" w:cs="Calibri"/>
          <w:b/>
          <w:lang w:val="sk-SK"/>
        </w:rPr>
        <w:t xml:space="preserve"> </w:t>
      </w:r>
      <w:r w:rsidR="00D37318" w:rsidRPr="7DAB3223" w:rsidDel="00EF2051">
        <w:rPr>
          <w:rFonts w:ascii="Calibri" w:hAnsi="Calibri" w:cs="Calibri"/>
          <w:b/>
          <w:lang w:val="sk-SK"/>
        </w:rPr>
        <w:t>P</w:t>
      </w:r>
      <w:r w:rsidR="0077705E" w:rsidRPr="7DAB3223" w:rsidDel="00EF2051">
        <w:rPr>
          <w:rFonts w:ascii="Calibri" w:hAnsi="Calibri" w:cs="Calibri"/>
          <w:b/>
          <w:lang w:val="sk-SK"/>
        </w:rPr>
        <w:t>reddavkov</w:t>
      </w:r>
      <w:bookmarkEnd w:id="21"/>
    </w:p>
    <w:p w14:paraId="405FA376" w14:textId="32E22B42" w:rsidR="005A01AE" w:rsidRPr="00D5483B" w:rsidDel="00EF2051" w:rsidRDefault="005A01AE">
      <w:pPr>
        <w:jc w:val="both"/>
        <w:rPr>
          <w:rFonts w:ascii="Calibri" w:hAnsi="Calibri" w:cs="Calibri"/>
          <w:b/>
          <w:color w:val="000000"/>
          <w:lang w:val="sk-SK" w:eastAsia="sk-SK"/>
        </w:rPr>
      </w:pPr>
    </w:p>
    <w:p w14:paraId="1A2CE90A" w14:textId="33C796DC" w:rsidR="00FE0E85" w:rsidRPr="00D5483B" w:rsidDel="00EF2051" w:rsidRDefault="002D5C30">
      <w:pPr>
        <w:pStyle w:val="Zkladntext1"/>
        <w:numPr>
          <w:ilvl w:val="1"/>
          <w:numId w:val="28"/>
        </w:numPr>
        <w:tabs>
          <w:tab w:val="left" w:pos="466"/>
        </w:tabs>
        <w:spacing w:before="240" w:after="140" w:line="233" w:lineRule="auto"/>
        <w:ind w:left="440" w:hanging="440"/>
        <w:jc w:val="both"/>
        <w:rPr>
          <w:rFonts w:cs="Calibri"/>
          <w:color w:val="000000"/>
          <w:lang w:val="sk-SK" w:eastAsia="cs-CZ" w:bidi="cs-CZ"/>
        </w:rPr>
      </w:pPr>
      <w:bookmarkStart w:id="22" w:name="OLE_LINK103"/>
      <w:r w:rsidRPr="7DAB3223" w:rsidDel="00EF2051">
        <w:rPr>
          <w:rFonts w:cs="Calibri"/>
          <w:color w:val="000000" w:themeColor="text1"/>
          <w:lang w:val="sk-SK" w:eastAsia="cs-CZ" w:bidi="cs-CZ"/>
        </w:rPr>
        <w:t xml:space="preserve">Výška </w:t>
      </w:r>
      <w:r w:rsidR="0023184C" w:rsidRPr="7DAB3223" w:rsidDel="00EF2051">
        <w:rPr>
          <w:rFonts w:cs="Calibri"/>
          <w:color w:val="000000" w:themeColor="text1"/>
          <w:lang w:val="sk-SK" w:eastAsia="cs-CZ" w:bidi="cs-CZ"/>
        </w:rPr>
        <w:t>P</w:t>
      </w:r>
      <w:r w:rsidRPr="7DAB3223" w:rsidDel="00EF2051">
        <w:rPr>
          <w:rFonts w:cs="Calibri"/>
          <w:color w:val="000000" w:themeColor="text1"/>
          <w:lang w:val="sk-SK" w:eastAsia="cs-CZ" w:bidi="cs-CZ"/>
        </w:rPr>
        <w:t xml:space="preserve">reddavkov </w:t>
      </w:r>
      <w:bookmarkEnd w:id="22"/>
      <w:r w:rsidR="00317B71" w:rsidRPr="7DAB3223" w:rsidDel="00EF2051">
        <w:rPr>
          <w:rFonts w:cs="Calibri"/>
          <w:color w:val="000000" w:themeColor="text1"/>
          <w:lang w:val="sk-SK" w:eastAsia="cs-CZ" w:bidi="cs-CZ"/>
        </w:rPr>
        <w:t xml:space="preserve">na cenu Zmluvného plnenia </w:t>
      </w:r>
      <w:r w:rsidR="0023184C" w:rsidRPr="7DAB3223" w:rsidDel="00EF2051">
        <w:rPr>
          <w:rFonts w:cs="Calibri"/>
          <w:color w:val="000000" w:themeColor="text1"/>
          <w:lang w:val="sk-SK" w:eastAsia="cs-CZ" w:bidi="cs-CZ"/>
        </w:rPr>
        <w:t xml:space="preserve">zodpovedá </w:t>
      </w:r>
      <w:r w:rsidRPr="7DAB3223" w:rsidDel="00EF2051">
        <w:rPr>
          <w:rFonts w:cs="Calibri"/>
          <w:color w:val="000000" w:themeColor="text1"/>
          <w:lang w:val="sk-SK" w:eastAsia="cs-CZ" w:bidi="cs-CZ"/>
        </w:rPr>
        <w:t>predpokladanej cen</w:t>
      </w:r>
      <w:r w:rsidR="0023184C" w:rsidRPr="7DAB3223" w:rsidDel="00EF2051">
        <w:rPr>
          <w:rFonts w:cs="Calibri"/>
          <w:color w:val="000000" w:themeColor="text1"/>
          <w:lang w:val="sk-SK" w:eastAsia="cs-CZ" w:bidi="cs-CZ"/>
        </w:rPr>
        <w:t>e</w:t>
      </w:r>
      <w:r w:rsidRPr="7DAB3223" w:rsidDel="00EF2051">
        <w:rPr>
          <w:rFonts w:cs="Calibri"/>
          <w:color w:val="000000" w:themeColor="text1"/>
          <w:lang w:val="sk-SK" w:eastAsia="cs-CZ" w:bidi="cs-CZ"/>
        </w:rPr>
        <w:t xml:space="preserve"> Zmluvného plnenia</w:t>
      </w:r>
      <w:r w:rsidR="0023184C" w:rsidRPr="7DAB3223" w:rsidDel="00EF2051">
        <w:rPr>
          <w:rFonts w:cs="Calibri"/>
          <w:color w:val="000000" w:themeColor="text1"/>
          <w:lang w:val="sk-SK" w:eastAsia="cs-CZ" w:bidi="cs-CZ"/>
        </w:rPr>
        <w:t xml:space="preserve"> za kalendárny mesiac</w:t>
      </w:r>
      <w:r w:rsidR="00D8248A" w:rsidRPr="7DAB3223" w:rsidDel="00EF2051">
        <w:rPr>
          <w:rFonts w:cs="Calibri"/>
          <w:color w:val="000000" w:themeColor="text1"/>
          <w:lang w:val="sk-SK" w:eastAsia="cs-CZ" w:bidi="cs-CZ"/>
        </w:rPr>
        <w:t>.</w:t>
      </w:r>
    </w:p>
    <w:p w14:paraId="6D1C6A73" w14:textId="21F97E2B" w:rsidR="005974F6" w:rsidRPr="00D5483B" w:rsidDel="00EF2051" w:rsidRDefault="0023184C">
      <w:pPr>
        <w:pStyle w:val="Zkladntext1"/>
        <w:numPr>
          <w:ilvl w:val="1"/>
          <w:numId w:val="28"/>
        </w:numPr>
        <w:tabs>
          <w:tab w:val="left" w:pos="466"/>
        </w:tabs>
        <w:spacing w:before="240" w:after="140" w:line="233" w:lineRule="auto"/>
        <w:ind w:left="440" w:hanging="440"/>
        <w:jc w:val="both"/>
        <w:rPr>
          <w:rFonts w:cs="Calibri"/>
          <w:color w:val="000000"/>
          <w:lang w:val="sk-SK" w:eastAsia="cs-CZ" w:bidi="cs-CZ"/>
        </w:rPr>
      </w:pPr>
      <w:r w:rsidRPr="7DAB3223" w:rsidDel="00EF2051">
        <w:rPr>
          <w:rFonts w:cs="Calibri"/>
          <w:color w:val="000000" w:themeColor="text1"/>
          <w:lang w:val="sk-SK" w:eastAsia="cs-CZ" w:bidi="cs-CZ"/>
        </w:rPr>
        <w:t>P</w:t>
      </w:r>
      <w:r w:rsidR="00D8248A" w:rsidRPr="7DAB3223" w:rsidDel="00EF2051">
        <w:rPr>
          <w:rFonts w:cs="Calibri"/>
          <w:color w:val="000000" w:themeColor="text1"/>
          <w:lang w:val="sk-SK" w:eastAsia="cs-CZ" w:bidi="cs-CZ"/>
        </w:rPr>
        <w:t>reddavok zohľadňuje</w:t>
      </w:r>
      <w:r w:rsidR="002D5C30" w:rsidRPr="7DAB3223" w:rsidDel="00EF2051">
        <w:rPr>
          <w:rFonts w:cs="Calibri"/>
          <w:color w:val="000000" w:themeColor="text1"/>
          <w:lang w:val="sk-SK" w:eastAsia="cs-CZ" w:bidi="cs-CZ"/>
        </w:rPr>
        <w:t xml:space="preserve"> </w:t>
      </w:r>
      <w:r w:rsidR="0054001E" w:rsidRPr="7DAB3223" w:rsidDel="00EF2051">
        <w:rPr>
          <w:rFonts w:cs="Calibri"/>
          <w:color w:val="000000" w:themeColor="text1"/>
          <w:lang w:val="sk-SK" w:eastAsia="cs-CZ" w:bidi="cs-CZ"/>
        </w:rPr>
        <w:t xml:space="preserve">množstvo elektriny vo výške </w:t>
      </w:r>
      <w:r w:rsidR="005F7BE8" w:rsidRPr="7DAB3223" w:rsidDel="00EF2051">
        <w:rPr>
          <w:rFonts w:cs="Calibri"/>
          <w:color w:val="000000" w:themeColor="text1"/>
          <w:lang w:val="sk-SK" w:eastAsia="cs-CZ" w:bidi="cs-CZ"/>
        </w:rPr>
        <w:t>1/12</w:t>
      </w:r>
      <w:r w:rsidR="00160D81" w:rsidRPr="7DAB3223" w:rsidDel="00EF2051">
        <w:rPr>
          <w:rFonts w:cs="Calibri"/>
          <w:color w:val="000000" w:themeColor="text1"/>
          <w:lang w:val="sk-SK" w:eastAsia="cs-CZ" w:bidi="cs-CZ"/>
        </w:rPr>
        <w:t xml:space="preserve"> z</w:t>
      </w:r>
      <w:r w:rsidR="00517FE9" w:rsidRPr="7DAB3223" w:rsidDel="00EF2051">
        <w:rPr>
          <w:rFonts w:cs="Calibri"/>
          <w:color w:val="000000" w:themeColor="text1"/>
          <w:lang w:val="sk-SK" w:eastAsia="cs-CZ" w:bidi="cs-CZ"/>
        </w:rPr>
        <w:t xml:space="preserve"> </w:t>
      </w:r>
      <w:bookmarkStart w:id="23" w:name="OLE_LINK13"/>
      <w:r w:rsidR="00517FE9" w:rsidRPr="7DAB3223" w:rsidDel="00EF2051">
        <w:rPr>
          <w:rFonts w:cs="Calibri"/>
          <w:color w:val="000000" w:themeColor="text1"/>
          <w:lang w:val="sk-SK" w:eastAsia="cs-CZ" w:bidi="cs-CZ"/>
        </w:rPr>
        <w:t xml:space="preserve">Predpokladaného </w:t>
      </w:r>
      <w:r w:rsidR="0054001E" w:rsidRPr="7DAB3223" w:rsidDel="00EF2051">
        <w:rPr>
          <w:rFonts w:cs="Calibri"/>
          <w:color w:val="000000" w:themeColor="text1"/>
          <w:lang w:val="sk-SK" w:eastAsia="cs-CZ" w:bidi="cs-CZ"/>
        </w:rPr>
        <w:t>odberu</w:t>
      </w:r>
      <w:bookmarkEnd w:id="23"/>
      <w:r w:rsidR="00B1269E" w:rsidRPr="7DAB3223" w:rsidDel="00EF2051">
        <w:rPr>
          <w:rFonts w:cs="Calibri"/>
          <w:color w:val="000000" w:themeColor="text1"/>
          <w:lang w:val="sk-SK" w:eastAsia="cs-CZ" w:bidi="cs-CZ"/>
        </w:rPr>
        <w:t xml:space="preserve"> a</w:t>
      </w:r>
      <w:r w:rsidR="00AF211E" w:rsidRPr="7DAB3223" w:rsidDel="00EF2051">
        <w:rPr>
          <w:rFonts w:cs="Calibri"/>
          <w:color w:val="000000" w:themeColor="text1"/>
          <w:lang w:val="sk-SK" w:eastAsia="cs-CZ" w:bidi="cs-CZ"/>
        </w:rPr>
        <w:t> </w:t>
      </w:r>
      <w:r w:rsidR="00D8248A" w:rsidRPr="7DAB3223" w:rsidDel="00EF2051">
        <w:rPr>
          <w:rFonts w:cs="Calibri"/>
          <w:color w:val="000000" w:themeColor="text1"/>
          <w:lang w:val="sk-SK" w:eastAsia="cs-CZ" w:bidi="cs-CZ"/>
        </w:rPr>
        <w:t>všetky</w:t>
      </w:r>
      <w:r w:rsidR="00AF211E" w:rsidRPr="7DAB3223" w:rsidDel="00EF2051">
        <w:rPr>
          <w:rFonts w:cs="Calibri"/>
          <w:color w:val="000000" w:themeColor="text1"/>
          <w:lang w:val="sk-SK" w:eastAsia="cs-CZ" w:bidi="cs-CZ"/>
        </w:rPr>
        <w:t xml:space="preserve"> </w:t>
      </w:r>
      <w:r w:rsidR="00D8248A" w:rsidRPr="7DAB3223" w:rsidDel="00EF2051">
        <w:rPr>
          <w:rFonts w:cs="Calibri"/>
          <w:color w:val="000000" w:themeColor="text1"/>
          <w:lang w:val="sk-SK" w:eastAsia="cs-CZ" w:bidi="cs-CZ"/>
        </w:rPr>
        <w:t xml:space="preserve">zložky </w:t>
      </w:r>
      <w:r w:rsidR="0054001E" w:rsidRPr="7DAB3223" w:rsidDel="00EF2051">
        <w:rPr>
          <w:rFonts w:cs="Calibri"/>
          <w:color w:val="000000" w:themeColor="text1"/>
          <w:lang w:val="sk-SK" w:eastAsia="cs-CZ" w:bidi="cs-CZ"/>
        </w:rPr>
        <w:t xml:space="preserve">ceny podľa článku 4 Zmluvy </w:t>
      </w:r>
      <w:r w:rsidR="00015DE0" w:rsidRPr="7DAB3223" w:rsidDel="00EF2051">
        <w:rPr>
          <w:rFonts w:cs="Calibri"/>
          <w:color w:val="000000" w:themeColor="text1"/>
          <w:lang w:val="sk-SK" w:eastAsia="cs-CZ" w:bidi="cs-CZ"/>
        </w:rPr>
        <w:t>(</w:t>
      </w:r>
      <w:proofErr w:type="spellStart"/>
      <w:r w:rsidR="0054001E" w:rsidRPr="7DAB3223" w:rsidDel="00EF2051">
        <w:rPr>
          <w:rFonts w:cs="Calibri"/>
          <w:color w:val="000000" w:themeColor="text1"/>
          <w:lang w:val="sk-SK" w:eastAsia="cs-CZ" w:bidi="cs-CZ"/>
        </w:rPr>
        <w:t>t.j</w:t>
      </w:r>
      <w:proofErr w:type="spellEnd"/>
      <w:r w:rsidR="0054001E" w:rsidRPr="7DAB3223" w:rsidDel="00EF2051">
        <w:rPr>
          <w:rFonts w:cs="Calibri"/>
          <w:color w:val="000000" w:themeColor="text1"/>
          <w:lang w:val="sk-SK" w:eastAsia="cs-CZ" w:bidi="cs-CZ"/>
        </w:rPr>
        <w:t xml:space="preserve">. </w:t>
      </w:r>
      <w:r w:rsidR="005974F6" w:rsidRPr="7DAB3223" w:rsidDel="00EF2051">
        <w:rPr>
          <w:rFonts w:cs="Calibri"/>
          <w:color w:val="000000" w:themeColor="text1"/>
          <w:lang w:val="sk-SK" w:eastAsia="cs-CZ" w:bidi="cs-CZ"/>
        </w:rPr>
        <w:t>C</w:t>
      </w:r>
      <w:r w:rsidR="00D8248A" w:rsidRPr="7DAB3223" w:rsidDel="00EF2051">
        <w:rPr>
          <w:rFonts w:cs="Calibri"/>
          <w:color w:val="000000" w:themeColor="text1"/>
          <w:lang w:val="sk-SK" w:eastAsia="cs-CZ" w:bidi="cs-CZ"/>
        </w:rPr>
        <w:t>en</w:t>
      </w:r>
      <w:r w:rsidRPr="7DAB3223" w:rsidDel="00EF2051">
        <w:rPr>
          <w:rFonts w:cs="Calibri"/>
          <w:color w:val="000000" w:themeColor="text1"/>
          <w:lang w:val="sk-SK" w:eastAsia="cs-CZ" w:bidi="cs-CZ"/>
        </w:rPr>
        <w:t>u</w:t>
      </w:r>
      <w:r w:rsidR="00D8248A" w:rsidRPr="7DAB3223" w:rsidDel="00EF2051">
        <w:rPr>
          <w:rFonts w:cs="Calibri"/>
          <w:color w:val="000000" w:themeColor="text1"/>
          <w:lang w:val="sk-SK" w:eastAsia="cs-CZ" w:bidi="cs-CZ"/>
        </w:rPr>
        <w:t xml:space="preserve"> </w:t>
      </w:r>
      <w:r w:rsidR="0054001E" w:rsidRPr="7DAB3223" w:rsidDel="00EF2051">
        <w:rPr>
          <w:rFonts w:cs="Calibri"/>
          <w:color w:val="000000" w:themeColor="text1"/>
          <w:lang w:val="sk-SK" w:eastAsia="cs-CZ" w:bidi="cs-CZ"/>
        </w:rPr>
        <w:t xml:space="preserve">za </w:t>
      </w:r>
      <w:r w:rsidR="00D8248A" w:rsidRPr="7DAB3223" w:rsidDel="00EF2051">
        <w:rPr>
          <w:rFonts w:cs="Calibri"/>
          <w:color w:val="000000" w:themeColor="text1"/>
          <w:lang w:val="sk-SK" w:eastAsia="cs-CZ" w:bidi="cs-CZ"/>
        </w:rPr>
        <w:t>dodávk</w:t>
      </w:r>
      <w:r w:rsidR="0054001E" w:rsidRPr="7DAB3223" w:rsidDel="00EF2051">
        <w:rPr>
          <w:rFonts w:cs="Calibri"/>
          <w:color w:val="000000" w:themeColor="text1"/>
          <w:lang w:val="sk-SK" w:eastAsia="cs-CZ" w:bidi="cs-CZ"/>
        </w:rPr>
        <w:t>u elektriny</w:t>
      </w:r>
      <w:r w:rsidR="00D8248A" w:rsidRPr="7DAB3223" w:rsidDel="00EF2051">
        <w:rPr>
          <w:rFonts w:cs="Calibri"/>
          <w:color w:val="000000" w:themeColor="text1"/>
          <w:lang w:val="sk-SK" w:eastAsia="cs-CZ" w:bidi="cs-CZ"/>
        </w:rPr>
        <w:t>, Cen</w:t>
      </w:r>
      <w:r w:rsidR="00015DE0" w:rsidRPr="7DAB3223" w:rsidDel="00EF2051">
        <w:rPr>
          <w:rFonts w:cs="Calibri"/>
          <w:color w:val="000000" w:themeColor="text1"/>
          <w:lang w:val="sk-SK" w:eastAsia="cs-CZ" w:bidi="cs-CZ"/>
        </w:rPr>
        <w:t>y</w:t>
      </w:r>
      <w:r w:rsidR="00D8248A" w:rsidRPr="7DAB3223" w:rsidDel="00EF2051">
        <w:rPr>
          <w:rFonts w:cs="Calibri"/>
          <w:color w:val="000000" w:themeColor="text1"/>
          <w:lang w:val="sk-SK" w:eastAsia="cs-CZ" w:bidi="cs-CZ"/>
        </w:rPr>
        <w:t xml:space="preserve"> za regulované služby, spotrebn</w:t>
      </w:r>
      <w:r w:rsidRPr="7DAB3223" w:rsidDel="00EF2051">
        <w:rPr>
          <w:rFonts w:cs="Calibri"/>
          <w:color w:val="000000" w:themeColor="text1"/>
          <w:lang w:val="sk-SK" w:eastAsia="cs-CZ" w:bidi="cs-CZ"/>
        </w:rPr>
        <w:t>ú</w:t>
      </w:r>
      <w:r w:rsidR="00D8248A" w:rsidRPr="7DAB3223" w:rsidDel="00EF2051">
        <w:rPr>
          <w:rFonts w:cs="Calibri"/>
          <w:color w:val="000000" w:themeColor="text1"/>
          <w:lang w:val="sk-SK" w:eastAsia="cs-CZ" w:bidi="cs-CZ"/>
        </w:rPr>
        <w:t xml:space="preserve"> daň a</w:t>
      </w:r>
      <w:r w:rsidR="00015DE0" w:rsidRPr="7DAB3223" w:rsidDel="00EF2051">
        <w:rPr>
          <w:rFonts w:cs="Calibri"/>
          <w:color w:val="000000" w:themeColor="text1"/>
          <w:lang w:val="sk-SK" w:eastAsia="cs-CZ" w:bidi="cs-CZ"/>
        </w:rPr>
        <w:t> </w:t>
      </w:r>
      <w:r w:rsidR="00D8248A" w:rsidRPr="7DAB3223" w:rsidDel="00EF2051">
        <w:rPr>
          <w:rFonts w:cs="Calibri"/>
          <w:color w:val="000000" w:themeColor="text1"/>
          <w:lang w:val="sk-SK" w:eastAsia="cs-CZ" w:bidi="cs-CZ"/>
        </w:rPr>
        <w:t>DPH</w:t>
      </w:r>
      <w:r w:rsidR="00015DE0" w:rsidRPr="7DAB3223" w:rsidDel="00EF2051">
        <w:rPr>
          <w:rFonts w:cs="Calibri"/>
          <w:color w:val="000000" w:themeColor="text1"/>
          <w:lang w:val="sk-SK" w:eastAsia="cs-CZ" w:bidi="cs-CZ"/>
        </w:rPr>
        <w:t>)</w:t>
      </w:r>
      <w:r w:rsidR="005F7BE8" w:rsidRPr="7DAB3223" w:rsidDel="00EF2051">
        <w:rPr>
          <w:rFonts w:cs="Calibri"/>
          <w:lang w:val="sk-SK" w:eastAsia="cs-CZ" w:bidi="cs-CZ"/>
        </w:rPr>
        <w:t xml:space="preserve"> platné ku dňu podpisu Zmluvy alebo v súlade s bodom </w:t>
      </w:r>
      <w:r w:rsidR="005F7BE8" w:rsidRPr="7DAB3223">
        <w:rPr>
          <w:rFonts w:cs="Calibri"/>
          <w:highlight w:val="lightGray"/>
          <w:lang w:val="sk-SK" w:eastAsia="cs-CZ" w:bidi="cs-CZ"/>
        </w:rPr>
        <w:fldChar w:fldCharType="begin"/>
      </w:r>
      <w:r w:rsidR="005F7BE8" w:rsidRPr="7DAB3223">
        <w:rPr>
          <w:rFonts w:cs="Calibri"/>
          <w:highlight w:val="lightGray"/>
          <w:lang w:val="sk-SK" w:eastAsia="cs-CZ" w:bidi="cs-CZ"/>
        </w:rPr>
        <w:instrText xml:space="preserve"> REF _Ref118365878 \r \h  \* MERGEFORMAT </w:instrText>
      </w:r>
      <w:r w:rsidR="005F7BE8" w:rsidRPr="7DAB3223">
        <w:rPr>
          <w:rFonts w:cs="Calibri"/>
          <w:highlight w:val="lightGray"/>
          <w:lang w:val="sk-SK" w:eastAsia="cs-CZ" w:bidi="cs-CZ"/>
        </w:rPr>
      </w:r>
      <w:r w:rsidR="005F7BE8" w:rsidRPr="7DAB3223">
        <w:rPr>
          <w:rFonts w:cs="Calibri"/>
          <w:highlight w:val="lightGray"/>
          <w:lang w:val="sk-SK" w:eastAsia="cs-CZ" w:bidi="cs-CZ"/>
        </w:rPr>
        <w:fldChar w:fldCharType="separate"/>
      </w:r>
      <w:r w:rsidR="00D5483B" w:rsidRPr="7DAB3223" w:rsidDel="00EF2051">
        <w:rPr>
          <w:rFonts w:cs="Calibri"/>
          <w:highlight w:val="lightGray"/>
          <w:lang w:val="sk-SK" w:eastAsia="cs-CZ" w:bidi="cs-CZ"/>
        </w:rPr>
        <w:t>1.5</w:t>
      </w:r>
      <w:r w:rsidR="005F7BE8" w:rsidRPr="7DAB3223">
        <w:rPr>
          <w:rFonts w:cs="Calibri"/>
          <w:highlight w:val="lightGray"/>
          <w:lang w:val="sk-SK" w:eastAsia="cs-CZ" w:bidi="cs-CZ"/>
        </w:rPr>
        <w:fldChar w:fldCharType="end"/>
      </w:r>
      <w:r w:rsidR="005F7BE8" w:rsidRPr="7DAB3223" w:rsidDel="00EF2051">
        <w:rPr>
          <w:rFonts w:cs="Calibri"/>
          <w:lang w:val="sk-SK" w:eastAsia="cs-CZ" w:bidi="cs-CZ"/>
        </w:rPr>
        <w:t xml:space="preserve"> tejto Prílohy</w:t>
      </w:r>
      <w:r w:rsidR="00015DE0" w:rsidRPr="7DAB3223" w:rsidDel="00EF2051">
        <w:rPr>
          <w:rFonts w:cs="Calibri"/>
          <w:color w:val="000000" w:themeColor="text1"/>
          <w:lang w:val="sk-SK" w:eastAsia="cs-CZ" w:bidi="cs-CZ"/>
        </w:rPr>
        <w:t>.</w:t>
      </w:r>
    </w:p>
    <w:p w14:paraId="2AA85A75" w14:textId="414601EC" w:rsidR="00147126" w:rsidRPr="007202F4" w:rsidRDefault="0045076C">
      <w:pPr>
        <w:pStyle w:val="Zkladntext1"/>
        <w:numPr>
          <w:ilvl w:val="1"/>
          <w:numId w:val="28"/>
        </w:numPr>
        <w:tabs>
          <w:tab w:val="left" w:pos="466"/>
        </w:tabs>
        <w:spacing w:after="140" w:line="233" w:lineRule="auto"/>
        <w:ind w:left="440" w:hanging="440"/>
        <w:jc w:val="both"/>
        <w:rPr>
          <w:rFonts w:cs="Calibri"/>
          <w:lang w:val="sk-SK"/>
        </w:rPr>
      </w:pPr>
      <w:r w:rsidRPr="007202F4">
        <w:rPr>
          <w:rFonts w:cs="Calibri"/>
          <w:lang w:val="sk-SK"/>
        </w:rPr>
        <w:t xml:space="preserve">Výška preddavku pri odberných miestach </w:t>
      </w:r>
      <w:r w:rsidR="00007803" w:rsidRPr="007202F4">
        <w:rPr>
          <w:rFonts w:cs="Calibri"/>
          <w:lang w:val="sk-SK"/>
        </w:rPr>
        <w:t>typu A (</w:t>
      </w:r>
      <w:proofErr w:type="spellStart"/>
      <w:r w:rsidR="00007803" w:rsidRPr="007202F4">
        <w:rPr>
          <w:rFonts w:cs="Calibri"/>
          <w:lang w:val="sk-SK"/>
        </w:rPr>
        <w:t>priebehové</w:t>
      </w:r>
      <w:proofErr w:type="spellEnd"/>
      <w:r w:rsidR="00007803" w:rsidRPr="007202F4">
        <w:rPr>
          <w:rFonts w:cs="Calibri"/>
          <w:lang w:val="sk-SK"/>
        </w:rPr>
        <w:t xml:space="preserve"> meranie s diaľkovým odpočtom</w:t>
      </w:r>
      <w:r w:rsidR="0088572C" w:rsidRPr="007202F4">
        <w:rPr>
          <w:rFonts w:cs="Calibri"/>
          <w:lang w:val="sk-SK"/>
        </w:rPr>
        <w:t>)</w:t>
      </w:r>
      <w:r w:rsidR="0040289C" w:rsidRPr="007202F4">
        <w:rPr>
          <w:rFonts w:cs="Calibri"/>
          <w:lang w:val="sk-SK"/>
        </w:rPr>
        <w:t xml:space="preserve"> je 70%</w:t>
      </w:r>
      <w:r w:rsidR="004B4814" w:rsidRPr="007202F4">
        <w:rPr>
          <w:rFonts w:cs="Calibri"/>
          <w:lang w:val="sk-SK"/>
        </w:rPr>
        <w:t xml:space="preserve"> predpokladanej mesačnej spotreby. Výška preddavku pri odberných miestach typu C (</w:t>
      </w:r>
      <w:r w:rsidR="00E57678" w:rsidRPr="007202F4">
        <w:rPr>
          <w:rFonts w:cs="Calibri"/>
          <w:lang w:val="sk-SK"/>
        </w:rPr>
        <w:t xml:space="preserve">bez </w:t>
      </w:r>
      <w:proofErr w:type="spellStart"/>
      <w:r w:rsidR="00E57678" w:rsidRPr="007202F4">
        <w:rPr>
          <w:rFonts w:cs="Calibri"/>
          <w:lang w:val="sk-SK"/>
        </w:rPr>
        <w:t>priebehového</w:t>
      </w:r>
      <w:proofErr w:type="spellEnd"/>
      <w:r w:rsidR="00E57678" w:rsidRPr="007202F4">
        <w:rPr>
          <w:rFonts w:cs="Calibri"/>
          <w:lang w:val="sk-SK"/>
        </w:rPr>
        <w:t xml:space="preserve"> merania)</w:t>
      </w:r>
      <w:r w:rsidR="005E13DD" w:rsidRPr="007202F4">
        <w:rPr>
          <w:rFonts w:cs="Calibri"/>
          <w:lang w:val="sk-SK"/>
        </w:rPr>
        <w:t xml:space="preserve"> je vo výške 100% 1/12 </w:t>
      </w:r>
      <w:r w:rsidR="0034096C">
        <w:rPr>
          <w:rFonts w:cs="Calibri"/>
          <w:lang w:val="sk-SK"/>
        </w:rPr>
        <w:t xml:space="preserve">predpokladanej </w:t>
      </w:r>
      <w:r w:rsidR="005E13DD" w:rsidRPr="007202F4">
        <w:rPr>
          <w:rFonts w:cs="Calibri"/>
          <w:lang w:val="sk-SK"/>
        </w:rPr>
        <w:t xml:space="preserve">ročnej spotreby. </w:t>
      </w:r>
    </w:p>
    <w:p w14:paraId="3DB1F88E" w14:textId="4C4C0C8A" w:rsidR="00317B71" w:rsidRPr="00D5483B" w:rsidDel="00EF2051" w:rsidRDefault="00B1269E">
      <w:pPr>
        <w:pStyle w:val="Zkladntext1"/>
        <w:numPr>
          <w:ilvl w:val="1"/>
          <w:numId w:val="28"/>
        </w:numPr>
        <w:tabs>
          <w:tab w:val="left" w:pos="466"/>
        </w:tabs>
        <w:spacing w:after="140" w:line="233" w:lineRule="auto"/>
        <w:ind w:left="440" w:hanging="440"/>
        <w:jc w:val="both"/>
        <w:rPr>
          <w:rFonts w:cs="Calibri"/>
          <w:color w:val="FF0000"/>
          <w:lang w:val="sk-SK"/>
        </w:rPr>
      </w:pPr>
      <w:r w:rsidRPr="7DAB3223" w:rsidDel="00EF2051">
        <w:rPr>
          <w:rFonts w:cs="Calibri"/>
          <w:color w:val="000000" w:themeColor="text1"/>
          <w:lang w:val="sk-SK" w:eastAsia="cs-CZ" w:bidi="cs-CZ"/>
        </w:rPr>
        <w:t xml:space="preserve">Splatnosť </w:t>
      </w:r>
      <w:r w:rsidR="0023184C" w:rsidRPr="7DAB3223" w:rsidDel="00EF2051">
        <w:rPr>
          <w:rFonts w:cs="Calibri"/>
          <w:color w:val="000000" w:themeColor="text1"/>
          <w:lang w:val="sk-SK" w:eastAsia="cs-CZ" w:bidi="cs-CZ"/>
        </w:rPr>
        <w:t>P</w:t>
      </w:r>
      <w:r w:rsidRPr="7DAB3223" w:rsidDel="00EF2051">
        <w:rPr>
          <w:rFonts w:cs="Calibri"/>
          <w:color w:val="000000" w:themeColor="text1"/>
          <w:lang w:val="sk-SK" w:eastAsia="cs-CZ" w:bidi="cs-CZ"/>
        </w:rPr>
        <w:t xml:space="preserve">reddavkov je </w:t>
      </w:r>
      <w:r w:rsidR="008B35F9">
        <w:rPr>
          <w:rFonts w:cs="Calibri"/>
          <w:color w:val="000000" w:themeColor="text1"/>
          <w:lang w:val="sk-SK" w:eastAsia="cs-CZ" w:bidi="cs-CZ"/>
        </w:rPr>
        <w:t xml:space="preserve">uvedená v zmluve v čl. </w:t>
      </w:r>
      <w:r w:rsidR="00E5619E">
        <w:rPr>
          <w:rFonts w:cs="Calibri"/>
          <w:color w:val="000000" w:themeColor="text1"/>
          <w:lang w:val="sk-SK" w:eastAsia="cs-CZ" w:bidi="cs-CZ"/>
        </w:rPr>
        <w:fldChar w:fldCharType="begin"/>
      </w:r>
      <w:r w:rsidR="00E5619E">
        <w:rPr>
          <w:rFonts w:cs="Calibri"/>
          <w:color w:val="000000" w:themeColor="text1"/>
          <w:lang w:val="sk-SK" w:eastAsia="cs-CZ" w:bidi="cs-CZ"/>
        </w:rPr>
        <w:instrText xml:space="preserve"> REF _Ref173321240 \r \h </w:instrText>
      </w:r>
      <w:r w:rsidR="00E5619E">
        <w:rPr>
          <w:rFonts w:cs="Calibri"/>
          <w:color w:val="000000" w:themeColor="text1"/>
          <w:lang w:val="sk-SK" w:eastAsia="cs-CZ" w:bidi="cs-CZ"/>
        </w:rPr>
      </w:r>
      <w:r w:rsidR="00E5619E">
        <w:rPr>
          <w:rFonts w:cs="Calibri"/>
          <w:color w:val="000000" w:themeColor="text1"/>
          <w:lang w:val="sk-SK" w:eastAsia="cs-CZ" w:bidi="cs-CZ"/>
        </w:rPr>
        <w:fldChar w:fldCharType="separate"/>
      </w:r>
      <w:r w:rsidR="00E5619E">
        <w:rPr>
          <w:rFonts w:cs="Calibri"/>
          <w:color w:val="000000" w:themeColor="text1"/>
          <w:lang w:val="sk-SK" w:eastAsia="cs-CZ" w:bidi="cs-CZ"/>
        </w:rPr>
        <w:t>4.3.7</w:t>
      </w:r>
      <w:r w:rsidR="00E5619E">
        <w:rPr>
          <w:rFonts w:cs="Calibri"/>
          <w:color w:val="000000" w:themeColor="text1"/>
          <w:lang w:val="sk-SK" w:eastAsia="cs-CZ" w:bidi="cs-CZ"/>
        </w:rPr>
        <w:fldChar w:fldCharType="end"/>
      </w:r>
      <w:r w:rsidR="00141230">
        <w:rPr>
          <w:rFonts w:cs="Calibri"/>
          <w:color w:val="000000" w:themeColor="text1"/>
          <w:lang w:val="sk-SK" w:eastAsia="cs-CZ" w:bidi="cs-CZ"/>
        </w:rPr>
        <w:t xml:space="preserve">. </w:t>
      </w:r>
    </w:p>
    <w:p w14:paraId="6446DE6D" w14:textId="07BE9F95" w:rsidR="005F7BE8" w:rsidRPr="00D5483B" w:rsidDel="00EF2051" w:rsidRDefault="0077705E">
      <w:pPr>
        <w:pStyle w:val="Zkladntext1"/>
        <w:numPr>
          <w:ilvl w:val="1"/>
          <w:numId w:val="28"/>
        </w:numPr>
        <w:tabs>
          <w:tab w:val="left" w:pos="466"/>
        </w:tabs>
        <w:spacing w:after="140" w:line="233" w:lineRule="auto"/>
        <w:ind w:left="440" w:hanging="440"/>
        <w:jc w:val="both"/>
        <w:rPr>
          <w:rFonts w:cs="Calibri"/>
          <w:color w:val="FF0000"/>
          <w:lang w:val="sk-SK" w:eastAsia="cs-CZ" w:bidi="cs-CZ"/>
        </w:rPr>
      </w:pPr>
      <w:r w:rsidRPr="7DAB3223" w:rsidDel="00EF2051">
        <w:rPr>
          <w:rFonts w:cs="Calibri"/>
          <w:lang w:val="sk-SK"/>
        </w:rPr>
        <w:t xml:space="preserve">Platba </w:t>
      </w:r>
      <w:r w:rsidR="0023184C" w:rsidRPr="7DAB3223" w:rsidDel="00EF2051">
        <w:rPr>
          <w:rFonts w:cs="Calibri"/>
          <w:lang w:val="sk-SK"/>
        </w:rPr>
        <w:t>P</w:t>
      </w:r>
      <w:r w:rsidRPr="7DAB3223" w:rsidDel="00EF2051">
        <w:rPr>
          <w:rFonts w:cs="Calibri"/>
          <w:lang w:val="sk-SK"/>
        </w:rPr>
        <w:t>reddavk</w:t>
      </w:r>
      <w:r w:rsidR="0023184C" w:rsidRPr="7DAB3223" w:rsidDel="00EF2051">
        <w:rPr>
          <w:rFonts w:cs="Calibri"/>
          <w:lang w:val="sk-SK"/>
        </w:rPr>
        <w:t>ov</w:t>
      </w:r>
      <w:r w:rsidRPr="7DAB3223" w:rsidDel="00EF2051">
        <w:rPr>
          <w:rFonts w:cs="Calibri"/>
          <w:lang w:val="sk-SK"/>
        </w:rPr>
        <w:t xml:space="preserve"> sa bud</w:t>
      </w:r>
      <w:r w:rsidR="00F027A6" w:rsidRPr="7DAB3223" w:rsidDel="00EF2051">
        <w:rPr>
          <w:rFonts w:cs="Calibri"/>
          <w:lang w:val="sk-SK"/>
        </w:rPr>
        <w:t>e</w:t>
      </w:r>
      <w:r w:rsidRPr="7DAB3223" w:rsidDel="00EF2051">
        <w:rPr>
          <w:rFonts w:cs="Calibri"/>
          <w:lang w:val="sk-SK"/>
        </w:rPr>
        <w:t xml:space="preserve"> uskutočňovať </w:t>
      </w:r>
      <w:r w:rsidR="00AB1D18" w:rsidRPr="7DAB3223" w:rsidDel="00EF2051">
        <w:rPr>
          <w:rFonts w:cs="Calibri"/>
          <w:lang w:val="sk-SK" w:eastAsia="cs-CZ" w:bidi="cs-CZ"/>
        </w:rPr>
        <w:t xml:space="preserve">v súlade so sumami </w:t>
      </w:r>
      <w:r w:rsidR="002C151A" w:rsidRPr="7DAB3223" w:rsidDel="00EF2051">
        <w:rPr>
          <w:rFonts w:cs="Calibri"/>
          <w:lang w:val="sk-SK" w:eastAsia="cs-CZ" w:bidi="cs-CZ"/>
        </w:rPr>
        <w:t xml:space="preserve">a variabilným symbolom </w:t>
      </w:r>
      <w:r w:rsidR="00AB1D18" w:rsidRPr="7DAB3223" w:rsidDel="00EF2051">
        <w:rPr>
          <w:rFonts w:cs="Calibri"/>
          <w:lang w:val="sk-SK" w:eastAsia="cs-CZ" w:bidi="cs-CZ"/>
        </w:rPr>
        <w:t>uvedenými prehľade Preddavkov</w:t>
      </w:r>
      <w:r w:rsidR="00317B71" w:rsidRPr="7DAB3223" w:rsidDel="00EF2051">
        <w:rPr>
          <w:rFonts w:cs="Calibri"/>
          <w:lang w:val="sk-SK" w:eastAsia="cs-CZ" w:bidi="cs-CZ"/>
        </w:rPr>
        <w:t xml:space="preserve"> v tabuľke v</w:t>
      </w:r>
      <w:r w:rsidR="005F7BE8" w:rsidRPr="7DAB3223" w:rsidDel="00EF2051">
        <w:rPr>
          <w:rFonts w:cs="Calibri"/>
          <w:lang w:val="sk-SK" w:eastAsia="cs-CZ" w:bidi="cs-CZ"/>
        </w:rPr>
        <w:t> </w:t>
      </w:r>
      <w:r w:rsidR="00317B71" w:rsidRPr="7DAB3223" w:rsidDel="00EF2051">
        <w:rPr>
          <w:rFonts w:cs="Calibri"/>
          <w:lang w:val="sk-SK" w:eastAsia="cs-CZ" w:bidi="cs-CZ"/>
        </w:rPr>
        <w:t>bode</w:t>
      </w:r>
      <w:r w:rsidR="005F7BE8" w:rsidRPr="7DAB3223" w:rsidDel="00EF2051">
        <w:rPr>
          <w:rFonts w:cs="Calibri"/>
          <w:lang w:val="sk-SK" w:eastAsia="cs-CZ" w:bidi="cs-CZ"/>
        </w:rPr>
        <w:t xml:space="preserve"> </w:t>
      </w:r>
      <w:r w:rsidR="005F7BE8" w:rsidRPr="7DAB3223">
        <w:rPr>
          <w:rFonts w:cs="Calibri"/>
          <w:highlight w:val="lightGray"/>
          <w:lang w:val="sk-SK" w:eastAsia="cs-CZ" w:bidi="cs-CZ"/>
        </w:rPr>
        <w:fldChar w:fldCharType="begin"/>
      </w:r>
      <w:r w:rsidR="005F7BE8" w:rsidRPr="7DAB3223">
        <w:rPr>
          <w:rFonts w:cs="Calibri"/>
          <w:highlight w:val="lightGray"/>
          <w:lang w:val="sk-SK" w:eastAsia="cs-CZ" w:bidi="cs-CZ"/>
        </w:rPr>
        <w:instrText xml:space="preserve"> REF _Ref118365856 \r \h  \* MERGEFORMAT </w:instrText>
      </w:r>
      <w:r w:rsidR="005F7BE8" w:rsidRPr="7DAB3223">
        <w:rPr>
          <w:rFonts w:cs="Calibri"/>
          <w:highlight w:val="lightGray"/>
          <w:lang w:val="sk-SK" w:eastAsia="cs-CZ" w:bidi="cs-CZ"/>
        </w:rPr>
      </w:r>
      <w:r w:rsidR="005F7BE8" w:rsidRPr="7DAB3223">
        <w:rPr>
          <w:rFonts w:cs="Calibri"/>
          <w:highlight w:val="lightGray"/>
          <w:lang w:val="sk-SK" w:eastAsia="cs-CZ" w:bidi="cs-CZ"/>
        </w:rPr>
        <w:fldChar w:fldCharType="separate"/>
      </w:r>
      <w:r w:rsidR="007D6D36">
        <w:rPr>
          <w:rFonts w:cs="Calibri"/>
          <w:highlight w:val="lightGray"/>
          <w:lang w:val="sk-SK" w:eastAsia="cs-CZ" w:bidi="cs-CZ"/>
        </w:rPr>
        <w:t>1.7</w:t>
      </w:r>
      <w:r w:rsidR="005F7BE8" w:rsidRPr="7DAB3223">
        <w:rPr>
          <w:rFonts w:cs="Calibri"/>
          <w:highlight w:val="lightGray"/>
          <w:lang w:val="sk-SK" w:eastAsia="cs-CZ" w:bidi="cs-CZ"/>
        </w:rPr>
        <w:fldChar w:fldCharType="end"/>
      </w:r>
      <w:r w:rsidR="00317B71" w:rsidRPr="7DAB3223" w:rsidDel="00EF2051">
        <w:rPr>
          <w:rFonts w:cs="Calibri"/>
          <w:lang w:val="sk-SK" w:eastAsia="cs-CZ" w:bidi="cs-CZ"/>
        </w:rPr>
        <w:t xml:space="preserve"> tejto prílohy</w:t>
      </w:r>
      <w:r w:rsidR="002C151A" w:rsidRPr="7DAB3223" w:rsidDel="00EF2051">
        <w:rPr>
          <w:rFonts w:cs="Calibri"/>
          <w:lang w:val="sk-SK" w:eastAsia="cs-CZ" w:bidi="cs-CZ"/>
        </w:rPr>
        <w:t xml:space="preserve">, </w:t>
      </w:r>
      <w:r w:rsidR="002C151A" w:rsidRPr="7DAB3223" w:rsidDel="00EF2051">
        <w:rPr>
          <w:rFonts w:cs="Calibri"/>
          <w:lang w:val="sk-SK"/>
        </w:rPr>
        <w:t>bez vystavenej</w:t>
      </w:r>
      <w:r w:rsidR="00DD632A" w:rsidRPr="7DAB3223" w:rsidDel="00EF2051">
        <w:rPr>
          <w:rFonts w:cs="Calibri"/>
          <w:lang w:val="sk-SK"/>
        </w:rPr>
        <w:t xml:space="preserve"> </w:t>
      </w:r>
      <w:r w:rsidR="00DD632A" w:rsidRPr="7DAB3223" w:rsidDel="00EF2051">
        <w:rPr>
          <w:rFonts w:cs="Calibri"/>
          <w:lang w:val="sk-SK" w:eastAsia="cs-CZ" w:bidi="cs-CZ"/>
        </w:rPr>
        <w:t xml:space="preserve">zálohovej </w:t>
      </w:r>
      <w:r w:rsidR="002C151A" w:rsidRPr="7DAB3223" w:rsidDel="00EF2051">
        <w:rPr>
          <w:rFonts w:cs="Calibri"/>
          <w:lang w:val="sk-SK"/>
        </w:rPr>
        <w:t>faktúry</w:t>
      </w:r>
      <w:bookmarkEnd w:id="20"/>
      <w:r w:rsidR="002C151A" w:rsidRPr="7DAB3223" w:rsidDel="00EF2051">
        <w:rPr>
          <w:rFonts w:cs="Calibri"/>
          <w:lang w:val="sk-SK"/>
        </w:rPr>
        <w:t>.</w:t>
      </w:r>
      <w:r w:rsidR="00317B71" w:rsidRPr="7DAB3223" w:rsidDel="00EF2051">
        <w:rPr>
          <w:rFonts w:cs="Calibri"/>
          <w:color w:val="FF0000"/>
          <w:lang w:val="sk-SK"/>
        </w:rPr>
        <w:t xml:space="preserve"> </w:t>
      </w:r>
      <w:bookmarkStart w:id="24" w:name="_Ref118018713"/>
    </w:p>
    <w:p w14:paraId="4EF78F43" w14:textId="6A34333F" w:rsidR="005F7BE8" w:rsidRPr="00D5483B" w:rsidDel="00EF2051" w:rsidRDefault="005F7BE8">
      <w:pPr>
        <w:pStyle w:val="Zkladntext1"/>
        <w:numPr>
          <w:ilvl w:val="1"/>
          <w:numId w:val="28"/>
        </w:numPr>
        <w:tabs>
          <w:tab w:val="left" w:pos="466"/>
        </w:tabs>
        <w:spacing w:after="140" w:line="233" w:lineRule="auto"/>
        <w:ind w:left="440" w:hanging="440"/>
        <w:jc w:val="both"/>
        <w:rPr>
          <w:rFonts w:cs="Calibri"/>
          <w:color w:val="FF0000"/>
          <w:lang w:val="sk-SK" w:eastAsia="cs-CZ" w:bidi="cs-CZ"/>
        </w:rPr>
      </w:pPr>
      <w:bookmarkStart w:id="25" w:name="_Ref118365878"/>
      <w:r w:rsidRPr="7DAB3223" w:rsidDel="00EF2051">
        <w:rPr>
          <w:rFonts w:cs="Calibri"/>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4"/>
      <w:bookmarkEnd w:id="25"/>
    </w:p>
    <w:p w14:paraId="3D8E706D" w14:textId="6FA2CB9B" w:rsidR="00DD632A" w:rsidRPr="00D5483B" w:rsidDel="00EF2051" w:rsidRDefault="00DD632A">
      <w:pPr>
        <w:pStyle w:val="Zkladntext1"/>
        <w:numPr>
          <w:ilvl w:val="1"/>
          <w:numId w:val="28"/>
        </w:numPr>
        <w:tabs>
          <w:tab w:val="left" w:pos="466"/>
        </w:tabs>
        <w:spacing w:after="140" w:line="233" w:lineRule="auto"/>
        <w:ind w:left="440" w:hanging="440"/>
        <w:jc w:val="both"/>
        <w:rPr>
          <w:rFonts w:cs="Calibri"/>
          <w:lang w:val="sk-SK" w:eastAsia="cs-CZ" w:bidi="cs-CZ"/>
        </w:rPr>
      </w:pPr>
      <w:bookmarkStart w:id="26" w:name="_Ref118365856"/>
      <w:r w:rsidRPr="7DAB3223" w:rsidDel="00EF2051">
        <w:rPr>
          <w:rFonts w:cs="Calibri"/>
          <w:lang w:val="sk-SK" w:eastAsia="cs-CZ" w:bidi="cs-CZ"/>
        </w:rPr>
        <w:t xml:space="preserve">Tabuľka </w:t>
      </w:r>
      <w:r w:rsidRPr="7DAB3223" w:rsidDel="00EF2051">
        <w:rPr>
          <w:rFonts w:cs="Calibri"/>
          <w:lang w:val="sk-SK" w:eastAsia="cs-CZ" w:bidi="cs-CZ"/>
        </w:rPr>
        <w:fldChar w:fldCharType="begin"/>
      </w:r>
      <w:r w:rsidRPr="7DAB3223" w:rsidDel="00EF2051">
        <w:rPr>
          <w:rFonts w:cs="Calibri"/>
          <w:lang w:val="sk-SK" w:eastAsia="cs-CZ" w:bidi="cs-CZ"/>
        </w:rPr>
        <w:instrText xml:space="preserve"> SEQ Tabuľka \* ARABIC </w:instrText>
      </w:r>
      <w:r w:rsidRPr="7DAB3223" w:rsidDel="00EF2051">
        <w:rPr>
          <w:rFonts w:cs="Calibri"/>
          <w:lang w:val="sk-SK" w:eastAsia="cs-CZ" w:bidi="cs-CZ"/>
        </w:rPr>
        <w:fldChar w:fldCharType="separate"/>
      </w:r>
      <w:r w:rsidR="00D5483B" w:rsidRPr="7DAB3223" w:rsidDel="00EF2051">
        <w:rPr>
          <w:rFonts w:cs="Calibri"/>
          <w:lang w:val="sk-SK" w:eastAsia="cs-CZ" w:bidi="cs-CZ"/>
        </w:rPr>
        <w:t>1</w:t>
      </w:r>
      <w:r w:rsidRPr="7DAB3223" w:rsidDel="00EF2051">
        <w:rPr>
          <w:rFonts w:cs="Calibri"/>
          <w:lang w:val="sk-SK" w:eastAsia="cs-CZ" w:bidi="cs-CZ"/>
        </w:rPr>
        <w:fldChar w:fldCharType="end"/>
      </w:r>
      <w:bookmarkStart w:id="27" w:name="_Ref115343337"/>
      <w:r w:rsidRPr="7DAB3223" w:rsidDel="00EF2051">
        <w:rPr>
          <w:rFonts w:cs="Calibri"/>
          <w:lang w:val="sk-SK" w:eastAsia="cs-CZ" w:bidi="cs-CZ"/>
        </w:rPr>
        <w:t xml:space="preserve"> - Prehľad Preddavkov</w:t>
      </w:r>
      <w:bookmarkEnd w:id="26"/>
      <w:bookmarkEnd w:id="27"/>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rsidDel="00EF2051" w14:paraId="5A9624DF" w14:textId="7DDDB1E6" w:rsidTr="7DAB3223">
        <w:trPr>
          <w:trHeight w:val="300"/>
        </w:trPr>
        <w:tc>
          <w:tcPr>
            <w:tcW w:w="2802" w:type="dxa"/>
            <w:shd w:val="clear" w:color="auto" w:fill="F2F2F2" w:themeFill="background1" w:themeFillShade="F2"/>
            <w:noWrap/>
            <w:vAlign w:val="center"/>
            <w:hideMark/>
          </w:tcPr>
          <w:p w14:paraId="682ABA56" w14:textId="006322A8" w:rsidR="00DD632A" w:rsidRPr="00D5483B" w:rsidDel="00EF2051" w:rsidRDefault="005F7BE8">
            <w:pPr>
              <w:widowControl/>
              <w:autoSpaceDE/>
              <w:autoSpaceDN/>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EIC</w:t>
            </w:r>
          </w:p>
        </w:tc>
        <w:tc>
          <w:tcPr>
            <w:tcW w:w="1701" w:type="dxa"/>
            <w:shd w:val="clear" w:color="auto" w:fill="F2F2F2" w:themeFill="background1" w:themeFillShade="F2"/>
            <w:noWrap/>
            <w:vAlign w:val="center"/>
            <w:hideMark/>
          </w:tcPr>
          <w:p w14:paraId="4A3B6EC7" w14:textId="5D515BE6" w:rsidR="00DD632A" w:rsidRPr="00D5483B" w:rsidDel="00EF2051" w:rsidRDefault="00DD632A">
            <w:pPr>
              <w:widowControl/>
              <w:autoSpaceDE/>
              <w:autoSpaceDN/>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 xml:space="preserve">Predpokladaný </w:t>
            </w:r>
          </w:p>
          <w:p w14:paraId="65159398" w14:textId="470227DB" w:rsidR="00DD632A" w:rsidRPr="00D5483B" w:rsidDel="00EF2051" w:rsidRDefault="00DD632A">
            <w:pPr>
              <w:widowControl/>
              <w:autoSpaceDE/>
              <w:autoSpaceDN/>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odber</w:t>
            </w:r>
          </w:p>
        </w:tc>
        <w:tc>
          <w:tcPr>
            <w:tcW w:w="1984" w:type="dxa"/>
            <w:shd w:val="clear" w:color="auto" w:fill="F2F2F2" w:themeFill="background1" w:themeFillShade="F2"/>
            <w:noWrap/>
            <w:vAlign w:val="center"/>
            <w:hideMark/>
          </w:tcPr>
          <w:p w14:paraId="07CC1D1E" w14:textId="699FB948" w:rsidR="00DD632A" w:rsidRPr="00D5483B" w:rsidDel="00EF2051" w:rsidRDefault="005F7BE8">
            <w:pPr>
              <w:widowControl/>
              <w:autoSpaceDE/>
              <w:autoSpaceDN/>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1/12</w:t>
            </w:r>
            <w:r w:rsidR="00DD632A" w:rsidRPr="7DAB3223" w:rsidDel="00EF2051">
              <w:rPr>
                <w:rFonts w:ascii="Calibri" w:hAnsi="Calibri" w:cs="Calibri"/>
                <w:b/>
                <w:color w:val="000000" w:themeColor="text1"/>
                <w:lang w:val="sk-SK" w:eastAsia="en-GB"/>
              </w:rPr>
              <w:t xml:space="preserve"> predpokladaného odberu</w:t>
            </w:r>
          </w:p>
        </w:tc>
        <w:tc>
          <w:tcPr>
            <w:tcW w:w="1418" w:type="dxa"/>
            <w:shd w:val="clear" w:color="auto" w:fill="F2F2F2" w:themeFill="background1" w:themeFillShade="F2"/>
            <w:noWrap/>
            <w:vAlign w:val="center"/>
            <w:hideMark/>
          </w:tcPr>
          <w:p w14:paraId="3C85B4C8" w14:textId="4BAAA54C" w:rsidR="00DD632A" w:rsidRPr="00D5483B" w:rsidDel="00EF2051" w:rsidRDefault="00DD632A">
            <w:pPr>
              <w:widowControl/>
              <w:autoSpaceDE/>
              <w:autoSpaceDN/>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Výška Preddavkov</w:t>
            </w:r>
          </w:p>
        </w:tc>
        <w:tc>
          <w:tcPr>
            <w:tcW w:w="1275" w:type="dxa"/>
            <w:shd w:val="clear" w:color="auto" w:fill="F2F2F2" w:themeFill="background1" w:themeFillShade="F2"/>
          </w:tcPr>
          <w:p w14:paraId="70752EED" w14:textId="0128C81F" w:rsidR="00DD632A" w:rsidRPr="00D5483B" w:rsidDel="00EF2051" w:rsidRDefault="00DD632A">
            <w:pPr>
              <w:widowControl/>
              <w:autoSpaceDE/>
              <w:autoSpaceDN/>
              <w:spacing w:before="120" w:after="120"/>
              <w:jc w:val="center"/>
              <w:rPr>
                <w:rFonts w:ascii="Calibri" w:hAnsi="Calibri" w:cs="Calibri"/>
                <w:b/>
                <w:color w:val="000000"/>
                <w:lang w:val="sk-SK" w:eastAsia="en-GB"/>
              </w:rPr>
            </w:pPr>
            <w:r w:rsidRPr="7DAB3223" w:rsidDel="00EF2051">
              <w:rPr>
                <w:rFonts w:ascii="Calibri" w:hAnsi="Calibri" w:cs="Calibri"/>
                <w:b/>
                <w:color w:val="000000" w:themeColor="text1"/>
                <w:lang w:val="sk-SK" w:eastAsia="en-GB"/>
              </w:rPr>
              <w:t>Variabilný symbol</w:t>
            </w:r>
          </w:p>
        </w:tc>
      </w:tr>
      <w:tr w:rsidR="00DD632A" w:rsidRPr="00D5483B" w:rsidDel="00EF2051" w14:paraId="0115E080" w14:textId="5A52B8C9" w:rsidTr="7DAB3223">
        <w:trPr>
          <w:trHeight w:val="300"/>
        </w:trPr>
        <w:tc>
          <w:tcPr>
            <w:tcW w:w="2802" w:type="dxa"/>
            <w:noWrap/>
            <w:hideMark/>
          </w:tcPr>
          <w:p w14:paraId="4D1152B5" w14:textId="028F64B8" w:rsidR="00DD632A" w:rsidRPr="00D5483B" w:rsidDel="00EF2051" w:rsidRDefault="00DD632A">
            <w:pPr>
              <w:widowControl/>
              <w:autoSpaceDE/>
              <w:autoSpaceDN/>
              <w:ind w:firstLine="200"/>
              <w:rPr>
                <w:rFonts w:ascii="Calibri" w:hAnsi="Calibri" w:cs="Calibri"/>
                <w:color w:val="000000"/>
                <w:lang w:val="sk-SK" w:eastAsia="en-GB"/>
              </w:rPr>
            </w:pPr>
          </w:p>
        </w:tc>
        <w:tc>
          <w:tcPr>
            <w:tcW w:w="1701" w:type="dxa"/>
            <w:noWrap/>
            <w:vAlign w:val="center"/>
            <w:hideMark/>
          </w:tcPr>
          <w:p w14:paraId="2C9EBF79" w14:textId="27E8F4DF" w:rsidR="00DD632A" w:rsidRPr="00D5483B" w:rsidDel="00EF2051" w:rsidRDefault="00DD632A">
            <w:pPr>
              <w:widowControl/>
              <w:autoSpaceDE/>
              <w:autoSpaceDN/>
              <w:ind w:left="4" w:hanging="38"/>
              <w:jc w:val="center"/>
              <w:rPr>
                <w:rFonts w:ascii="Calibri" w:hAnsi="Calibri" w:cs="Calibri"/>
                <w:i/>
                <w:color w:val="000000"/>
                <w:lang w:val="sk-SK" w:eastAsia="en-GB"/>
              </w:rPr>
            </w:pPr>
            <w:r w:rsidRPr="7DAB3223" w:rsidDel="00EF2051">
              <w:rPr>
                <w:rFonts w:ascii="Calibri" w:hAnsi="Calibri" w:cs="Calibri"/>
                <w:i/>
                <w:color w:val="000000" w:themeColor="text1"/>
                <w:lang w:val="sk-SK" w:eastAsia="en-GB"/>
              </w:rPr>
              <w:t>(MWh)</w:t>
            </w:r>
          </w:p>
        </w:tc>
        <w:tc>
          <w:tcPr>
            <w:tcW w:w="1984" w:type="dxa"/>
            <w:noWrap/>
            <w:vAlign w:val="center"/>
            <w:hideMark/>
          </w:tcPr>
          <w:p w14:paraId="61245700" w14:textId="60AC2BA1" w:rsidR="00DD632A" w:rsidRPr="00D5483B" w:rsidDel="00EF2051" w:rsidRDefault="00DD632A">
            <w:pPr>
              <w:widowControl/>
              <w:autoSpaceDE/>
              <w:autoSpaceDN/>
              <w:ind w:left="4" w:hanging="38"/>
              <w:jc w:val="center"/>
              <w:rPr>
                <w:rFonts w:ascii="Calibri" w:hAnsi="Calibri" w:cs="Calibri"/>
                <w:i/>
                <w:color w:val="000000"/>
                <w:lang w:val="sk-SK" w:eastAsia="en-GB"/>
              </w:rPr>
            </w:pPr>
            <w:r w:rsidRPr="7DAB3223" w:rsidDel="00EF2051">
              <w:rPr>
                <w:rFonts w:ascii="Calibri" w:hAnsi="Calibri" w:cs="Calibri"/>
                <w:i/>
                <w:color w:val="000000" w:themeColor="text1"/>
                <w:lang w:val="sk-SK" w:eastAsia="en-GB"/>
              </w:rPr>
              <w:t>MWh</w:t>
            </w:r>
          </w:p>
        </w:tc>
        <w:tc>
          <w:tcPr>
            <w:tcW w:w="1418" w:type="dxa"/>
            <w:noWrap/>
            <w:vAlign w:val="center"/>
            <w:hideMark/>
          </w:tcPr>
          <w:p w14:paraId="4A2A973B" w14:textId="1A4AE18F" w:rsidR="00DD632A" w:rsidRPr="00D5483B" w:rsidDel="00EF2051" w:rsidRDefault="00DD632A">
            <w:pPr>
              <w:widowControl/>
              <w:autoSpaceDE/>
              <w:autoSpaceDN/>
              <w:ind w:left="4" w:hanging="38"/>
              <w:jc w:val="center"/>
              <w:rPr>
                <w:rFonts w:ascii="Calibri" w:hAnsi="Calibri" w:cs="Calibri"/>
                <w:i/>
                <w:color w:val="000000"/>
                <w:lang w:val="sk-SK" w:eastAsia="en-GB"/>
              </w:rPr>
            </w:pPr>
            <w:r w:rsidRPr="7DAB3223" w:rsidDel="00EF2051">
              <w:rPr>
                <w:rFonts w:ascii="Calibri" w:hAnsi="Calibri" w:cs="Calibri"/>
                <w:i/>
                <w:color w:val="000000" w:themeColor="text1"/>
                <w:lang w:val="sk-SK" w:eastAsia="en-GB"/>
              </w:rPr>
              <w:t>EUR</w:t>
            </w:r>
          </w:p>
        </w:tc>
        <w:tc>
          <w:tcPr>
            <w:tcW w:w="1275" w:type="dxa"/>
          </w:tcPr>
          <w:p w14:paraId="5EF8926A" w14:textId="4B6295C1" w:rsidR="00DD632A" w:rsidRPr="00D5483B" w:rsidDel="00EF2051" w:rsidRDefault="00DD632A">
            <w:pPr>
              <w:widowControl/>
              <w:autoSpaceDE/>
              <w:autoSpaceDN/>
              <w:ind w:left="4" w:hanging="38"/>
              <w:jc w:val="center"/>
              <w:rPr>
                <w:rFonts w:ascii="Calibri" w:hAnsi="Calibri" w:cs="Calibri"/>
                <w:i/>
                <w:color w:val="000000"/>
                <w:lang w:val="sk-SK" w:eastAsia="en-GB"/>
              </w:rPr>
            </w:pPr>
          </w:p>
        </w:tc>
      </w:tr>
      <w:tr w:rsidR="00DD632A" w:rsidRPr="00D5483B" w:rsidDel="00EF2051" w14:paraId="343E9BDE" w14:textId="321FC374" w:rsidTr="7DAB3223">
        <w:trPr>
          <w:trHeight w:val="300"/>
        </w:trPr>
        <w:tc>
          <w:tcPr>
            <w:tcW w:w="2802" w:type="dxa"/>
            <w:noWrap/>
          </w:tcPr>
          <w:p w14:paraId="3F5248DF" w14:textId="79C76A9E" w:rsidR="00DD632A" w:rsidRPr="00D5483B" w:rsidDel="00EF2051" w:rsidRDefault="00DD632A">
            <w:pPr>
              <w:widowControl/>
              <w:autoSpaceDE/>
              <w:autoSpaceDN/>
              <w:spacing w:before="60" w:after="60"/>
              <w:ind w:firstLine="200"/>
              <w:rPr>
                <w:rFonts w:ascii="Calibri" w:hAnsi="Calibri" w:cs="Calibri"/>
                <w:color w:val="000000"/>
                <w:lang w:val="sk-SK" w:eastAsia="en-GB"/>
              </w:rPr>
            </w:pPr>
          </w:p>
        </w:tc>
        <w:tc>
          <w:tcPr>
            <w:tcW w:w="1701" w:type="dxa"/>
            <w:noWrap/>
          </w:tcPr>
          <w:p w14:paraId="52C25998" w14:textId="7D840D84" w:rsidR="00DD632A" w:rsidRPr="00D5483B" w:rsidDel="00EF2051" w:rsidRDefault="00DD632A">
            <w:pPr>
              <w:widowControl/>
              <w:autoSpaceDE/>
              <w:autoSpaceDN/>
              <w:spacing w:before="60" w:after="60"/>
              <w:ind w:firstLine="200"/>
              <w:jc w:val="right"/>
              <w:rPr>
                <w:rFonts w:ascii="Calibri" w:hAnsi="Calibri" w:cs="Calibri"/>
                <w:color w:val="000000"/>
                <w:lang w:val="sk-SK" w:eastAsia="en-GB"/>
              </w:rPr>
            </w:pPr>
          </w:p>
        </w:tc>
        <w:tc>
          <w:tcPr>
            <w:tcW w:w="1984" w:type="dxa"/>
            <w:noWrap/>
          </w:tcPr>
          <w:p w14:paraId="04F40592" w14:textId="2B97B759" w:rsidR="00DD632A" w:rsidRPr="00D5483B" w:rsidDel="00EF2051" w:rsidRDefault="00DD632A">
            <w:pPr>
              <w:widowControl/>
              <w:autoSpaceDE/>
              <w:autoSpaceDN/>
              <w:spacing w:before="60" w:after="60"/>
              <w:ind w:firstLine="200"/>
              <w:jc w:val="right"/>
              <w:rPr>
                <w:rFonts w:ascii="Calibri" w:hAnsi="Calibri" w:cs="Calibri"/>
                <w:color w:val="000000"/>
                <w:lang w:val="sk-SK" w:eastAsia="en-GB"/>
              </w:rPr>
            </w:pPr>
          </w:p>
        </w:tc>
        <w:tc>
          <w:tcPr>
            <w:tcW w:w="1418" w:type="dxa"/>
            <w:noWrap/>
            <w:hideMark/>
          </w:tcPr>
          <w:p w14:paraId="2086745A" w14:textId="6C3B3329" w:rsidR="00DD632A" w:rsidRPr="00D5483B" w:rsidDel="00EF2051" w:rsidRDefault="00D5483B">
            <w:pPr>
              <w:widowControl/>
              <w:autoSpaceDE/>
              <w:autoSpaceDN/>
              <w:spacing w:before="60" w:after="60"/>
              <w:ind w:firstLine="200"/>
              <w:jc w:val="right"/>
              <w:rPr>
                <w:rFonts w:ascii="Calibri" w:hAnsi="Calibri" w:cs="Calibri"/>
                <w:color w:val="000000"/>
                <w:lang w:val="sk-SK" w:eastAsia="en-GB"/>
              </w:rPr>
            </w:pPr>
            <w:r w:rsidRPr="7DAB3223" w:rsidDel="00EF2051">
              <w:rPr>
                <w:rFonts w:ascii="Calibri" w:eastAsia="Arial Unicode MS" w:hAnsi="Calibri" w:cs="Calibri"/>
                <w:highlight w:val="yellow"/>
                <w:lang w:val="sk-SK"/>
              </w:rPr>
              <w:t>[•]</w:t>
            </w:r>
          </w:p>
        </w:tc>
        <w:tc>
          <w:tcPr>
            <w:tcW w:w="1275" w:type="dxa"/>
          </w:tcPr>
          <w:p w14:paraId="612A7104" w14:textId="2A94D73F" w:rsidR="00DD632A" w:rsidRPr="00D5483B" w:rsidDel="00EF2051" w:rsidRDefault="00D5483B">
            <w:pPr>
              <w:widowControl/>
              <w:autoSpaceDE/>
              <w:autoSpaceDN/>
              <w:spacing w:before="60" w:after="60"/>
              <w:ind w:firstLine="200"/>
              <w:jc w:val="right"/>
              <w:rPr>
                <w:rFonts w:ascii="Calibri" w:hAnsi="Calibri" w:cs="Calibri"/>
                <w:color w:val="000000"/>
                <w:lang w:val="sk-SK" w:eastAsia="en-GB"/>
              </w:rPr>
            </w:pPr>
            <w:r w:rsidRPr="7DAB3223" w:rsidDel="00EF2051">
              <w:rPr>
                <w:rFonts w:ascii="Calibri" w:eastAsia="Arial Unicode MS" w:hAnsi="Calibri" w:cs="Calibri"/>
                <w:highlight w:val="yellow"/>
                <w:lang w:val="sk-SK"/>
              </w:rPr>
              <w:t>[•]</w:t>
            </w:r>
          </w:p>
        </w:tc>
      </w:tr>
      <w:tr w:rsidR="00DD632A" w:rsidRPr="00D5483B" w:rsidDel="00EF2051" w14:paraId="4BB1D332" w14:textId="708E0167" w:rsidTr="7DAB3223">
        <w:trPr>
          <w:trHeight w:val="300"/>
        </w:trPr>
        <w:tc>
          <w:tcPr>
            <w:tcW w:w="2802" w:type="dxa"/>
            <w:noWrap/>
            <w:hideMark/>
          </w:tcPr>
          <w:p w14:paraId="357F6C87" w14:textId="5817254B" w:rsidR="00DD632A" w:rsidRPr="00D5483B" w:rsidDel="00EF2051" w:rsidRDefault="00DD632A">
            <w:pPr>
              <w:widowControl/>
              <w:autoSpaceDE/>
              <w:autoSpaceDN/>
              <w:spacing w:before="60" w:after="60"/>
              <w:ind w:firstLine="200"/>
              <w:rPr>
                <w:rFonts w:ascii="Calibri" w:hAnsi="Calibri" w:cs="Calibri"/>
                <w:b/>
                <w:color w:val="000000"/>
                <w:lang w:val="sk-SK" w:eastAsia="en-GB"/>
              </w:rPr>
            </w:pPr>
            <w:r w:rsidRPr="7DAB3223" w:rsidDel="00EF2051">
              <w:rPr>
                <w:rFonts w:ascii="Calibri" w:hAnsi="Calibri" w:cs="Calibri"/>
                <w:b/>
                <w:color w:val="000000" w:themeColor="text1"/>
                <w:lang w:val="sk-SK" w:eastAsia="en-GB"/>
              </w:rPr>
              <w:t>Spolu</w:t>
            </w:r>
          </w:p>
        </w:tc>
        <w:tc>
          <w:tcPr>
            <w:tcW w:w="1701" w:type="dxa"/>
            <w:noWrap/>
          </w:tcPr>
          <w:p w14:paraId="74734989" w14:textId="696D243F" w:rsidR="00DD632A" w:rsidRPr="00D5483B" w:rsidDel="00EF2051" w:rsidRDefault="00DD632A">
            <w:pPr>
              <w:widowControl/>
              <w:autoSpaceDE/>
              <w:autoSpaceDN/>
              <w:spacing w:before="60" w:after="60"/>
              <w:ind w:firstLine="200"/>
              <w:jc w:val="right"/>
              <w:rPr>
                <w:rFonts w:ascii="Calibri" w:hAnsi="Calibri" w:cs="Calibri"/>
                <w:b/>
                <w:color w:val="000000"/>
                <w:lang w:val="sk-SK" w:eastAsia="en-GB"/>
              </w:rPr>
            </w:pPr>
          </w:p>
        </w:tc>
        <w:tc>
          <w:tcPr>
            <w:tcW w:w="1984" w:type="dxa"/>
            <w:noWrap/>
          </w:tcPr>
          <w:p w14:paraId="05D90C74" w14:textId="14D71DE4" w:rsidR="00DD632A" w:rsidRPr="00D5483B" w:rsidDel="00EF2051" w:rsidRDefault="00DD632A">
            <w:pPr>
              <w:widowControl/>
              <w:autoSpaceDE/>
              <w:autoSpaceDN/>
              <w:spacing w:before="60" w:after="60"/>
              <w:ind w:firstLine="200"/>
              <w:jc w:val="right"/>
              <w:rPr>
                <w:rFonts w:ascii="Calibri" w:hAnsi="Calibri" w:cs="Calibri"/>
                <w:b/>
                <w:color w:val="000000"/>
                <w:lang w:val="sk-SK" w:eastAsia="en-GB"/>
              </w:rPr>
            </w:pPr>
          </w:p>
        </w:tc>
        <w:tc>
          <w:tcPr>
            <w:tcW w:w="1418" w:type="dxa"/>
            <w:noWrap/>
            <w:hideMark/>
          </w:tcPr>
          <w:p w14:paraId="72BF5F08" w14:textId="1AEB09B0" w:rsidR="00DD632A" w:rsidRPr="00D5483B" w:rsidDel="00EF2051" w:rsidRDefault="00D5483B">
            <w:pPr>
              <w:widowControl/>
              <w:autoSpaceDE/>
              <w:autoSpaceDN/>
              <w:spacing w:before="60" w:after="60"/>
              <w:ind w:firstLine="200"/>
              <w:jc w:val="right"/>
              <w:rPr>
                <w:rFonts w:ascii="Calibri" w:hAnsi="Calibri" w:cs="Calibri"/>
                <w:color w:val="000000"/>
                <w:lang w:val="sk-SK" w:eastAsia="en-GB"/>
              </w:rPr>
            </w:pPr>
            <w:r w:rsidRPr="7DAB3223" w:rsidDel="00EF2051">
              <w:rPr>
                <w:rFonts w:ascii="Calibri" w:eastAsia="Arial Unicode MS" w:hAnsi="Calibri" w:cs="Calibri"/>
                <w:highlight w:val="yellow"/>
                <w:lang w:val="sk-SK"/>
              </w:rPr>
              <w:t>[•]</w:t>
            </w:r>
          </w:p>
        </w:tc>
        <w:tc>
          <w:tcPr>
            <w:tcW w:w="1275" w:type="dxa"/>
          </w:tcPr>
          <w:p w14:paraId="32ADAC25" w14:textId="0660204E" w:rsidR="00DD632A" w:rsidRPr="00D5483B" w:rsidDel="00EF2051" w:rsidRDefault="00D5483B">
            <w:pPr>
              <w:widowControl/>
              <w:autoSpaceDE/>
              <w:autoSpaceDN/>
              <w:spacing w:before="60" w:after="60"/>
              <w:ind w:firstLine="200"/>
              <w:jc w:val="right"/>
              <w:rPr>
                <w:rFonts w:ascii="Calibri" w:hAnsi="Calibri" w:cs="Calibri"/>
                <w:color w:val="000000"/>
                <w:lang w:val="sk-SK" w:eastAsia="en-GB"/>
              </w:rPr>
            </w:pPr>
            <w:r w:rsidRPr="7DAB3223" w:rsidDel="00EF2051">
              <w:rPr>
                <w:rFonts w:ascii="Calibri" w:eastAsia="Arial Unicode MS" w:hAnsi="Calibri" w:cs="Calibri"/>
                <w:highlight w:val="yellow"/>
                <w:lang w:val="sk-SK"/>
              </w:rPr>
              <w:t>[•]</w:t>
            </w:r>
          </w:p>
        </w:tc>
      </w:tr>
    </w:tbl>
    <w:p w14:paraId="648619B2" w14:textId="14B4CE52" w:rsidR="00DD632A" w:rsidRPr="00D5483B" w:rsidDel="00EF2051" w:rsidRDefault="00DD632A">
      <w:pPr>
        <w:rPr>
          <w:rFonts w:ascii="Calibri" w:hAnsi="Calibri" w:cs="Calibri"/>
          <w:lang w:val="sk-SK"/>
        </w:rPr>
      </w:pPr>
    </w:p>
    <w:p w14:paraId="76FCF66F" w14:textId="21B326FF" w:rsidR="00DD632A" w:rsidRPr="00D5483B" w:rsidDel="00EF2051" w:rsidRDefault="00DD632A" w:rsidP="2D55A69E">
      <w:pPr>
        <w:rPr>
          <w:rFonts w:ascii="Calibri" w:eastAsia="Arial Narrow" w:hAnsi="Calibri" w:cs="Calibri"/>
          <w:lang w:val="sk-SK"/>
        </w:rPr>
      </w:pPr>
    </w:p>
    <w:p w14:paraId="3BAFCDAA" w14:textId="70EBCF6A" w:rsidR="005F7BE8" w:rsidRPr="00D5483B" w:rsidDel="00EF2051" w:rsidRDefault="005F7BE8" w:rsidP="2D55A69E">
      <w:pPr>
        <w:rPr>
          <w:rFonts w:ascii="Calibri" w:eastAsia="Arial Narrow" w:hAnsi="Calibri" w:cs="Calibri"/>
          <w:lang w:val="sk-SK"/>
        </w:rPr>
      </w:pPr>
    </w:p>
    <w:p w14:paraId="4210A346" w14:textId="2180F9FD" w:rsidR="005F7BE8" w:rsidRPr="00D5483B" w:rsidDel="00EF2051" w:rsidRDefault="005F7BE8" w:rsidP="2D55A69E">
      <w:pPr>
        <w:rPr>
          <w:rFonts w:ascii="Calibri" w:eastAsia="Arial Narrow" w:hAnsi="Calibri" w:cs="Calibri"/>
          <w:lang w:val="sk-SK"/>
        </w:rPr>
      </w:pPr>
    </w:p>
    <w:p w14:paraId="2BDD5605" w14:textId="6C0328B6" w:rsidR="005F7BE8" w:rsidRPr="00D5483B" w:rsidDel="00EF2051" w:rsidRDefault="005F7BE8" w:rsidP="2D55A69E">
      <w:pPr>
        <w:rPr>
          <w:rFonts w:ascii="Calibri" w:eastAsia="Arial Narrow" w:hAnsi="Calibri" w:cs="Calibri"/>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rsidDel="00EF2051" w14:paraId="5A5ACA55" w14:textId="556AAB14" w:rsidTr="09185C6F">
        <w:trPr>
          <w:trHeight w:val="300"/>
          <w:jc w:val="center"/>
        </w:trPr>
        <w:tc>
          <w:tcPr>
            <w:tcW w:w="3375" w:type="dxa"/>
            <w:tcBorders>
              <w:bottom w:val="single" w:sz="4" w:space="0" w:color="auto"/>
            </w:tcBorders>
          </w:tcPr>
          <w:p w14:paraId="0811ACFE" w14:textId="17139FCC" w:rsidR="005F7BE8" w:rsidRPr="00D5483B" w:rsidDel="00EF2051" w:rsidRDefault="005F7BE8" w:rsidP="2D55A69E">
            <w:pPr>
              <w:rPr>
                <w:rFonts w:eastAsia="Calibri" w:cs="Calibri"/>
                <w:lang w:val="sk-SK"/>
              </w:rPr>
            </w:pPr>
            <w:r w:rsidRPr="09185C6F" w:rsidDel="00EF2051">
              <w:rPr>
                <w:rFonts w:ascii="Calibri" w:eastAsia="Calibri" w:hAnsi="Calibri" w:cs="Calibri"/>
                <w:lang w:val="sk-SK"/>
              </w:rPr>
              <w:t>V ................... dňa  ...................</w:t>
            </w:r>
          </w:p>
          <w:p w14:paraId="29265362" w14:textId="7B084BF4" w:rsidR="005F7BE8" w:rsidRPr="00D5483B" w:rsidDel="00EF2051" w:rsidRDefault="005F7BE8" w:rsidP="2D55A69E">
            <w:pPr>
              <w:rPr>
                <w:rFonts w:cs="Calibri"/>
                <w:lang w:val="sk-SK"/>
              </w:rPr>
            </w:pPr>
          </w:p>
        </w:tc>
        <w:tc>
          <w:tcPr>
            <w:tcW w:w="1298" w:type="dxa"/>
          </w:tcPr>
          <w:p w14:paraId="3E59988A" w14:textId="0856DAA3" w:rsidR="005F7BE8" w:rsidRPr="00D5483B" w:rsidDel="00EF2051" w:rsidRDefault="005F7BE8" w:rsidP="2D55A69E">
            <w:pPr>
              <w:rPr>
                <w:rFonts w:eastAsia="Calibri" w:cs="Calibri"/>
                <w:lang w:val="sk-SK"/>
              </w:rPr>
            </w:pPr>
          </w:p>
        </w:tc>
        <w:tc>
          <w:tcPr>
            <w:tcW w:w="3827" w:type="dxa"/>
            <w:tcBorders>
              <w:bottom w:val="single" w:sz="4" w:space="0" w:color="auto"/>
            </w:tcBorders>
          </w:tcPr>
          <w:p w14:paraId="0E3DB9FB" w14:textId="5AE4686D" w:rsidR="005F7BE8" w:rsidRPr="00D5483B" w:rsidDel="00EF2051" w:rsidRDefault="005F7BE8" w:rsidP="2D55A69E">
            <w:pPr>
              <w:rPr>
                <w:rFonts w:eastAsia="Calibri" w:cs="Calibri"/>
                <w:lang w:val="sk-SK"/>
              </w:rPr>
            </w:pPr>
            <w:r w:rsidRPr="09185C6F" w:rsidDel="00EF2051">
              <w:rPr>
                <w:rFonts w:ascii="Calibri" w:eastAsia="Calibri" w:hAnsi="Calibri" w:cs="Calibri"/>
                <w:lang w:val="sk-SK"/>
              </w:rPr>
              <w:t>V .......................</w:t>
            </w:r>
            <w:r w:rsidR="00C73FED">
              <w:rPr>
                <w:rFonts w:ascii="Calibri" w:eastAsia="Calibri" w:hAnsi="Calibri" w:cs="Calibri"/>
                <w:lang w:val="sk-SK"/>
              </w:rPr>
              <w:t xml:space="preserve"> </w:t>
            </w:r>
            <w:r w:rsidRPr="09185C6F" w:rsidDel="00EF2051">
              <w:rPr>
                <w:rFonts w:ascii="Calibri" w:eastAsia="Calibri" w:hAnsi="Calibri" w:cs="Calibri"/>
                <w:lang w:val="sk-SK"/>
              </w:rPr>
              <w:t>dňa</w:t>
            </w:r>
            <w:r w:rsidRPr="09185C6F" w:rsidDel="00EF2051">
              <w:rPr>
                <w:rFonts w:eastAsia="Calibri" w:cs="Calibri"/>
                <w:lang w:val="sk-SK"/>
              </w:rPr>
              <w:t xml:space="preserve"> </w:t>
            </w:r>
            <w:r w:rsidRPr="09185C6F" w:rsidDel="00EF2051">
              <w:rPr>
                <w:rFonts w:ascii="Calibri" w:eastAsia="Calibri" w:hAnsi="Calibri" w:cs="Calibri"/>
                <w:lang w:val="sk-SK"/>
              </w:rPr>
              <w:t>...................</w:t>
            </w:r>
          </w:p>
          <w:p w14:paraId="71148F79" w14:textId="335379DF" w:rsidR="005F7BE8" w:rsidRPr="00D5483B" w:rsidDel="00EF2051" w:rsidRDefault="005F7BE8" w:rsidP="2D55A69E">
            <w:pPr>
              <w:rPr>
                <w:rFonts w:eastAsia="Calibri" w:cs="Calibri"/>
                <w:lang w:val="sk-SK"/>
              </w:rPr>
            </w:pPr>
          </w:p>
          <w:p w14:paraId="3CD10520" w14:textId="24772D7D" w:rsidR="005F7BE8" w:rsidRPr="00D5483B" w:rsidDel="00EF2051" w:rsidRDefault="005F7BE8" w:rsidP="2D55A69E">
            <w:pPr>
              <w:rPr>
                <w:rFonts w:eastAsia="Calibri" w:cs="Calibri"/>
                <w:lang w:val="sk-SK"/>
              </w:rPr>
            </w:pPr>
          </w:p>
          <w:p w14:paraId="39BE7351" w14:textId="0B18E736" w:rsidR="005F7BE8" w:rsidRPr="00D5483B" w:rsidDel="00EF2051" w:rsidRDefault="005F7BE8" w:rsidP="2D55A69E">
            <w:pPr>
              <w:rPr>
                <w:rFonts w:cs="Calibri"/>
                <w:lang w:val="sk-SK"/>
              </w:rPr>
            </w:pPr>
          </w:p>
        </w:tc>
      </w:tr>
      <w:tr w:rsidR="005F7BE8" w:rsidRPr="00D5483B" w:rsidDel="00EF2051" w14:paraId="3B0A3B6E" w14:textId="6574FD0D" w:rsidTr="09185C6F">
        <w:trPr>
          <w:trHeight w:val="300"/>
          <w:jc w:val="center"/>
        </w:trPr>
        <w:tc>
          <w:tcPr>
            <w:tcW w:w="3375" w:type="dxa"/>
            <w:tcBorders>
              <w:top w:val="single" w:sz="4" w:space="0" w:color="auto"/>
            </w:tcBorders>
          </w:tcPr>
          <w:p w14:paraId="68110BE6" w14:textId="7831FB66" w:rsidR="005F7BE8" w:rsidRPr="00D5483B" w:rsidDel="00EF2051" w:rsidRDefault="005F7BE8" w:rsidP="495D44CA">
            <w:pPr>
              <w:rPr>
                <w:rFonts w:eastAsia="Calibri" w:cs="Calibri"/>
                <w:lang w:val="sk-SK"/>
              </w:rPr>
            </w:pPr>
          </w:p>
          <w:p w14:paraId="71025B68" w14:textId="307B7C6A" w:rsidR="005F7BE8" w:rsidRPr="00D5483B" w:rsidDel="00EF2051" w:rsidRDefault="005F7BE8" w:rsidP="495D44CA">
            <w:pPr>
              <w:rPr>
                <w:rFonts w:eastAsia="Calibri" w:cs="Calibri"/>
                <w:lang w:val="sk-SK"/>
              </w:rPr>
            </w:pPr>
            <w:r w:rsidRPr="09185C6F" w:rsidDel="00EF2051">
              <w:rPr>
                <w:rFonts w:ascii="Calibri" w:eastAsia="Calibri" w:hAnsi="Calibri" w:cs="Calibri"/>
                <w:lang w:val="sk-SK"/>
              </w:rPr>
              <w:t>V mene Objednávateľa</w:t>
            </w:r>
          </w:p>
          <w:p w14:paraId="0279915B" w14:textId="750491C1" w:rsidR="005F7BE8" w:rsidRPr="00D5483B" w:rsidDel="00EF2051" w:rsidRDefault="00D5483B" w:rsidP="495D44CA">
            <w:pPr>
              <w:rPr>
                <w:rFonts w:eastAsia="Calibri" w:cs="Calibri"/>
                <w:lang w:val="sk-SK"/>
              </w:rPr>
            </w:pPr>
            <w:r w:rsidRPr="09185C6F" w:rsidDel="00EF2051">
              <w:rPr>
                <w:rFonts w:ascii="Calibri" w:eastAsia="Arial Unicode MS" w:hAnsi="Calibri" w:cs="Calibri"/>
                <w:highlight w:val="yellow"/>
                <w:lang w:val="sk-SK"/>
              </w:rPr>
              <w:t>[•]</w:t>
            </w:r>
          </w:p>
        </w:tc>
        <w:tc>
          <w:tcPr>
            <w:tcW w:w="1298" w:type="dxa"/>
          </w:tcPr>
          <w:p w14:paraId="0CCA0B2E" w14:textId="4B589A4A" w:rsidR="005F7BE8" w:rsidRPr="00D5483B" w:rsidDel="00EF2051" w:rsidRDefault="005F7BE8" w:rsidP="495D44CA">
            <w:pPr>
              <w:rPr>
                <w:rFonts w:eastAsia="Calibri" w:cs="Calibri"/>
                <w:lang w:val="sk-SK"/>
              </w:rPr>
            </w:pPr>
          </w:p>
        </w:tc>
        <w:tc>
          <w:tcPr>
            <w:tcW w:w="3827" w:type="dxa"/>
            <w:tcBorders>
              <w:top w:val="single" w:sz="4" w:space="0" w:color="auto"/>
            </w:tcBorders>
          </w:tcPr>
          <w:p w14:paraId="3E1BA341" w14:textId="2123E86B" w:rsidR="005F7BE8" w:rsidRPr="00D5483B" w:rsidDel="00EF2051" w:rsidRDefault="005F7BE8" w:rsidP="495D44CA">
            <w:pPr>
              <w:rPr>
                <w:rFonts w:eastAsia="Calibri" w:cs="Calibri"/>
                <w:lang w:val="sk-SK"/>
              </w:rPr>
            </w:pPr>
          </w:p>
          <w:p w14:paraId="4552C048" w14:textId="5B5294D1" w:rsidR="005F7BE8" w:rsidRPr="00D5483B" w:rsidDel="00EF2051" w:rsidRDefault="005F7BE8" w:rsidP="495D44CA">
            <w:pPr>
              <w:rPr>
                <w:rFonts w:eastAsia="Calibri" w:cs="Calibri"/>
                <w:lang w:val="sk-SK"/>
              </w:rPr>
            </w:pPr>
            <w:r w:rsidRPr="09185C6F" w:rsidDel="00EF2051">
              <w:rPr>
                <w:rFonts w:ascii="Calibri" w:eastAsia="Calibri" w:hAnsi="Calibri" w:cs="Calibri"/>
                <w:lang w:val="sk-SK"/>
              </w:rPr>
              <w:t>V mene Poskytovateľa</w:t>
            </w:r>
          </w:p>
          <w:p w14:paraId="12A7663F" w14:textId="223BA6A6" w:rsidR="005F7BE8" w:rsidRPr="00D5483B" w:rsidDel="00EF2051" w:rsidRDefault="00D5483B" w:rsidP="495D44CA">
            <w:pPr>
              <w:rPr>
                <w:rFonts w:cs="Calibri"/>
                <w:lang w:val="sk-SK"/>
              </w:rPr>
            </w:pPr>
            <w:r w:rsidRPr="09185C6F" w:rsidDel="00EF2051">
              <w:rPr>
                <w:rFonts w:ascii="Calibri" w:eastAsia="Arial Unicode MS" w:hAnsi="Calibri" w:cs="Calibri"/>
                <w:highlight w:val="yellow"/>
                <w:lang w:val="sk-SK"/>
              </w:rPr>
              <w:t>[•]</w:t>
            </w:r>
          </w:p>
        </w:tc>
      </w:tr>
    </w:tbl>
    <w:p w14:paraId="208BD306" w14:textId="5C140BB3" w:rsidR="00FA7EC0" w:rsidRPr="00D5483B" w:rsidRDefault="00FA7EC0" w:rsidP="495D44CA">
      <w:pPr>
        <w:rPr>
          <w:rFonts w:ascii="Calibri" w:eastAsia="Calibri" w:hAnsi="Calibri" w:cs="Calibri"/>
          <w:lang w:val="sk-SK"/>
        </w:rPr>
      </w:pPr>
    </w:p>
    <w:sectPr w:rsidR="00FA7EC0" w:rsidRPr="00D548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CC6C" w14:textId="77777777" w:rsidR="008069CA" w:rsidRDefault="008069CA" w:rsidP="007202F4">
      <w:r>
        <w:separator/>
      </w:r>
    </w:p>
  </w:endnote>
  <w:endnote w:type="continuationSeparator" w:id="0">
    <w:p w14:paraId="36691110" w14:textId="77777777" w:rsidR="008069CA" w:rsidRDefault="008069CA" w:rsidP="0072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095036"/>
      <w:docPartObj>
        <w:docPartGallery w:val="Page Numbers (Bottom of Page)"/>
        <w:docPartUnique/>
      </w:docPartObj>
    </w:sdtPr>
    <w:sdtEndPr/>
    <w:sdtContent>
      <w:p w14:paraId="064BF041" w14:textId="1047EA7C" w:rsidR="007202F4" w:rsidRDefault="007202F4">
        <w:pPr>
          <w:pStyle w:val="Pta"/>
          <w:jc w:val="center"/>
        </w:pPr>
        <w:r>
          <w:fldChar w:fldCharType="begin"/>
        </w:r>
        <w:r>
          <w:instrText>PAGE   \* MERGEFORMAT</w:instrText>
        </w:r>
        <w:r>
          <w:fldChar w:fldCharType="separate"/>
        </w:r>
        <w:r>
          <w:rPr>
            <w:lang w:val="sk-SK"/>
          </w:rPr>
          <w:t>2</w:t>
        </w:r>
        <w:r>
          <w:fldChar w:fldCharType="end"/>
        </w:r>
      </w:p>
    </w:sdtContent>
  </w:sdt>
  <w:p w14:paraId="157BF3F1" w14:textId="77777777" w:rsidR="007202F4" w:rsidRDefault="007202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30B" w14:textId="77777777" w:rsidR="008069CA" w:rsidRDefault="008069CA" w:rsidP="007202F4">
      <w:r>
        <w:separator/>
      </w:r>
    </w:p>
  </w:footnote>
  <w:footnote w:type="continuationSeparator" w:id="0">
    <w:p w14:paraId="6EBE8C89" w14:textId="77777777" w:rsidR="008069CA" w:rsidRDefault="008069CA" w:rsidP="0072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0E949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18"/>
  </w:num>
  <w:num w:numId="2" w16cid:durableId="188448308">
    <w:abstractNumId w:val="23"/>
  </w:num>
  <w:num w:numId="3" w16cid:durableId="773551550">
    <w:abstractNumId w:val="5"/>
  </w:num>
  <w:num w:numId="4" w16cid:durableId="1414015038">
    <w:abstractNumId w:val="1"/>
  </w:num>
  <w:num w:numId="5" w16cid:durableId="188302564">
    <w:abstractNumId w:val="11"/>
  </w:num>
  <w:num w:numId="6" w16cid:durableId="653678443">
    <w:abstractNumId w:val="10"/>
  </w:num>
  <w:num w:numId="7" w16cid:durableId="1355768912">
    <w:abstractNumId w:val="22"/>
  </w:num>
  <w:num w:numId="8" w16cid:durableId="202838677">
    <w:abstractNumId w:val="26"/>
  </w:num>
  <w:num w:numId="9" w16cid:durableId="294064600">
    <w:abstractNumId w:val="25"/>
  </w:num>
  <w:num w:numId="10" w16cid:durableId="1353536655">
    <w:abstractNumId w:val="17"/>
  </w:num>
  <w:num w:numId="11" w16cid:durableId="1114596022">
    <w:abstractNumId w:val="20"/>
  </w:num>
  <w:num w:numId="12" w16cid:durableId="2029019473">
    <w:abstractNumId w:val="6"/>
  </w:num>
  <w:num w:numId="13" w16cid:durableId="1729376544">
    <w:abstractNumId w:val="7"/>
  </w:num>
  <w:num w:numId="14" w16cid:durableId="662271022">
    <w:abstractNumId w:val="13"/>
  </w:num>
  <w:num w:numId="15" w16cid:durableId="10497414">
    <w:abstractNumId w:val="9"/>
  </w:num>
  <w:num w:numId="16" w16cid:durableId="1055469740">
    <w:abstractNumId w:val="24"/>
  </w:num>
  <w:num w:numId="17" w16cid:durableId="245305785">
    <w:abstractNumId w:val="15"/>
  </w:num>
  <w:num w:numId="18" w16cid:durableId="777531245">
    <w:abstractNumId w:val="3"/>
  </w:num>
  <w:num w:numId="19" w16cid:durableId="298536685">
    <w:abstractNumId w:val="21"/>
  </w:num>
  <w:num w:numId="20" w16cid:durableId="698505989">
    <w:abstractNumId w:val="14"/>
  </w:num>
  <w:num w:numId="21" w16cid:durableId="1598096749">
    <w:abstractNumId w:val="4"/>
  </w:num>
  <w:num w:numId="22" w16cid:durableId="1537815857">
    <w:abstractNumId w:val="19"/>
  </w:num>
  <w:num w:numId="23" w16cid:durableId="195235842">
    <w:abstractNumId w:val="0"/>
  </w:num>
  <w:num w:numId="24" w16cid:durableId="238487198">
    <w:abstractNumId w:val="28"/>
  </w:num>
  <w:num w:numId="25" w16cid:durableId="2006276063">
    <w:abstractNumId w:val="27"/>
  </w:num>
  <w:num w:numId="26" w16cid:durableId="705178451">
    <w:abstractNumId w:val="12"/>
  </w:num>
  <w:num w:numId="27" w16cid:durableId="1742363860">
    <w:abstractNumId w:val="16"/>
  </w:num>
  <w:num w:numId="28" w16cid:durableId="2013989724">
    <w:abstractNumId w:val="2"/>
  </w:num>
  <w:num w:numId="29" w16cid:durableId="671488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07803"/>
    <w:rsid w:val="00012D1D"/>
    <w:rsid w:val="00012F4F"/>
    <w:rsid w:val="00015DE0"/>
    <w:rsid w:val="00017A7B"/>
    <w:rsid w:val="000212B7"/>
    <w:rsid w:val="00027635"/>
    <w:rsid w:val="00030839"/>
    <w:rsid w:val="00030DBB"/>
    <w:rsid w:val="000313B2"/>
    <w:rsid w:val="0006348D"/>
    <w:rsid w:val="0007060A"/>
    <w:rsid w:val="00085312"/>
    <w:rsid w:val="0008541D"/>
    <w:rsid w:val="00085724"/>
    <w:rsid w:val="00097863"/>
    <w:rsid w:val="000B2FAC"/>
    <w:rsid w:val="000B475D"/>
    <w:rsid w:val="000B4F25"/>
    <w:rsid w:val="000C3972"/>
    <w:rsid w:val="000C6A4F"/>
    <w:rsid w:val="000E611E"/>
    <w:rsid w:val="000F2EBE"/>
    <w:rsid w:val="000F3606"/>
    <w:rsid w:val="000F6160"/>
    <w:rsid w:val="001008DA"/>
    <w:rsid w:val="0011429F"/>
    <w:rsid w:val="00115616"/>
    <w:rsid w:val="00126250"/>
    <w:rsid w:val="00136E8E"/>
    <w:rsid w:val="00140046"/>
    <w:rsid w:val="00141230"/>
    <w:rsid w:val="00147126"/>
    <w:rsid w:val="00147755"/>
    <w:rsid w:val="00160D81"/>
    <w:rsid w:val="001614E3"/>
    <w:rsid w:val="0018473C"/>
    <w:rsid w:val="001934AC"/>
    <w:rsid w:val="001A428B"/>
    <w:rsid w:val="001A7795"/>
    <w:rsid w:val="001B71DD"/>
    <w:rsid w:val="001B78D0"/>
    <w:rsid w:val="001D7811"/>
    <w:rsid w:val="00204F94"/>
    <w:rsid w:val="00205BFA"/>
    <w:rsid w:val="00206956"/>
    <w:rsid w:val="00210772"/>
    <w:rsid w:val="00211424"/>
    <w:rsid w:val="0021391E"/>
    <w:rsid w:val="00213EBF"/>
    <w:rsid w:val="002177DA"/>
    <w:rsid w:val="0023184C"/>
    <w:rsid w:val="00233F05"/>
    <w:rsid w:val="0023651B"/>
    <w:rsid w:val="0024565E"/>
    <w:rsid w:val="00255386"/>
    <w:rsid w:val="0027090B"/>
    <w:rsid w:val="00283321"/>
    <w:rsid w:val="002A4F09"/>
    <w:rsid w:val="002B1CB3"/>
    <w:rsid w:val="002B550D"/>
    <w:rsid w:val="002B61AC"/>
    <w:rsid w:val="002C0DC0"/>
    <w:rsid w:val="002C151A"/>
    <w:rsid w:val="002C306C"/>
    <w:rsid w:val="002C63C6"/>
    <w:rsid w:val="002D2457"/>
    <w:rsid w:val="002D5C30"/>
    <w:rsid w:val="00300356"/>
    <w:rsid w:val="003028F5"/>
    <w:rsid w:val="00305C56"/>
    <w:rsid w:val="0031074E"/>
    <w:rsid w:val="00317B71"/>
    <w:rsid w:val="00321936"/>
    <w:rsid w:val="00322758"/>
    <w:rsid w:val="0034096C"/>
    <w:rsid w:val="00340D62"/>
    <w:rsid w:val="00356DAC"/>
    <w:rsid w:val="00363087"/>
    <w:rsid w:val="0036547B"/>
    <w:rsid w:val="003711FB"/>
    <w:rsid w:val="00372DD9"/>
    <w:rsid w:val="003839C6"/>
    <w:rsid w:val="003B0E7A"/>
    <w:rsid w:val="003B6853"/>
    <w:rsid w:val="003C5F3F"/>
    <w:rsid w:val="003C61E3"/>
    <w:rsid w:val="003D43BA"/>
    <w:rsid w:val="003D6510"/>
    <w:rsid w:val="003F7008"/>
    <w:rsid w:val="003F734B"/>
    <w:rsid w:val="00400460"/>
    <w:rsid w:val="0040289C"/>
    <w:rsid w:val="00404680"/>
    <w:rsid w:val="004255ED"/>
    <w:rsid w:val="0044576F"/>
    <w:rsid w:val="0045076C"/>
    <w:rsid w:val="0045519E"/>
    <w:rsid w:val="00455AF0"/>
    <w:rsid w:val="0046404E"/>
    <w:rsid w:val="004714D6"/>
    <w:rsid w:val="00486353"/>
    <w:rsid w:val="00486DEE"/>
    <w:rsid w:val="00487C48"/>
    <w:rsid w:val="004A013D"/>
    <w:rsid w:val="004A773A"/>
    <w:rsid w:val="004B4814"/>
    <w:rsid w:val="004B75DA"/>
    <w:rsid w:val="004C1706"/>
    <w:rsid w:val="004C204F"/>
    <w:rsid w:val="004D7C13"/>
    <w:rsid w:val="004F0991"/>
    <w:rsid w:val="00503623"/>
    <w:rsid w:val="005165D0"/>
    <w:rsid w:val="00517FE9"/>
    <w:rsid w:val="005213D0"/>
    <w:rsid w:val="0053592E"/>
    <w:rsid w:val="005370C6"/>
    <w:rsid w:val="0054001E"/>
    <w:rsid w:val="00542C2F"/>
    <w:rsid w:val="0054635B"/>
    <w:rsid w:val="00547277"/>
    <w:rsid w:val="00550C20"/>
    <w:rsid w:val="00555E54"/>
    <w:rsid w:val="005564B7"/>
    <w:rsid w:val="00561C99"/>
    <w:rsid w:val="0056519D"/>
    <w:rsid w:val="005815D2"/>
    <w:rsid w:val="00585C24"/>
    <w:rsid w:val="00597033"/>
    <w:rsid w:val="005974F6"/>
    <w:rsid w:val="005975B8"/>
    <w:rsid w:val="005A01AE"/>
    <w:rsid w:val="005A3D72"/>
    <w:rsid w:val="005A43E1"/>
    <w:rsid w:val="005A4F5C"/>
    <w:rsid w:val="005B10F8"/>
    <w:rsid w:val="005B20BC"/>
    <w:rsid w:val="005C0453"/>
    <w:rsid w:val="005C3780"/>
    <w:rsid w:val="005C5C96"/>
    <w:rsid w:val="005D69FC"/>
    <w:rsid w:val="005E13DD"/>
    <w:rsid w:val="005F7BE8"/>
    <w:rsid w:val="00600958"/>
    <w:rsid w:val="00605EBE"/>
    <w:rsid w:val="0062128A"/>
    <w:rsid w:val="00640C60"/>
    <w:rsid w:val="00641E7B"/>
    <w:rsid w:val="00650B3E"/>
    <w:rsid w:val="00651ED6"/>
    <w:rsid w:val="00666A2D"/>
    <w:rsid w:val="006718D8"/>
    <w:rsid w:val="00675997"/>
    <w:rsid w:val="0067774B"/>
    <w:rsid w:val="00691E3E"/>
    <w:rsid w:val="00693383"/>
    <w:rsid w:val="00697951"/>
    <w:rsid w:val="006B465D"/>
    <w:rsid w:val="006B5842"/>
    <w:rsid w:val="006C1EC9"/>
    <w:rsid w:val="006C4227"/>
    <w:rsid w:val="006D33B1"/>
    <w:rsid w:val="006D6869"/>
    <w:rsid w:val="006E184A"/>
    <w:rsid w:val="006E2755"/>
    <w:rsid w:val="006E7603"/>
    <w:rsid w:val="006F22CE"/>
    <w:rsid w:val="006F3C93"/>
    <w:rsid w:val="007013BD"/>
    <w:rsid w:val="00704CEB"/>
    <w:rsid w:val="007053F8"/>
    <w:rsid w:val="007164E6"/>
    <w:rsid w:val="007202F4"/>
    <w:rsid w:val="00724236"/>
    <w:rsid w:val="007303DF"/>
    <w:rsid w:val="007345F4"/>
    <w:rsid w:val="00736BDC"/>
    <w:rsid w:val="00774707"/>
    <w:rsid w:val="00775EA4"/>
    <w:rsid w:val="0077705E"/>
    <w:rsid w:val="00791B82"/>
    <w:rsid w:val="007B1181"/>
    <w:rsid w:val="007C0CAC"/>
    <w:rsid w:val="007C3790"/>
    <w:rsid w:val="007C3E8D"/>
    <w:rsid w:val="007D2F08"/>
    <w:rsid w:val="007D6D36"/>
    <w:rsid w:val="007E004A"/>
    <w:rsid w:val="007E0F2A"/>
    <w:rsid w:val="007E3316"/>
    <w:rsid w:val="007F45DD"/>
    <w:rsid w:val="007F4B8C"/>
    <w:rsid w:val="007F4C6B"/>
    <w:rsid w:val="007F744C"/>
    <w:rsid w:val="008069CA"/>
    <w:rsid w:val="00810E20"/>
    <w:rsid w:val="0081572E"/>
    <w:rsid w:val="00837ADE"/>
    <w:rsid w:val="008453D3"/>
    <w:rsid w:val="00870A5E"/>
    <w:rsid w:val="0088572C"/>
    <w:rsid w:val="00894D84"/>
    <w:rsid w:val="0089542C"/>
    <w:rsid w:val="008B20F0"/>
    <w:rsid w:val="008B35F9"/>
    <w:rsid w:val="008B5A96"/>
    <w:rsid w:val="008C222B"/>
    <w:rsid w:val="008D0C2D"/>
    <w:rsid w:val="008E4C71"/>
    <w:rsid w:val="008E7C6D"/>
    <w:rsid w:val="008F4413"/>
    <w:rsid w:val="00902695"/>
    <w:rsid w:val="00911420"/>
    <w:rsid w:val="00912D95"/>
    <w:rsid w:val="0093743F"/>
    <w:rsid w:val="00946599"/>
    <w:rsid w:val="00947651"/>
    <w:rsid w:val="00955A24"/>
    <w:rsid w:val="00967096"/>
    <w:rsid w:val="00976AED"/>
    <w:rsid w:val="00976FDF"/>
    <w:rsid w:val="009771A5"/>
    <w:rsid w:val="0098041D"/>
    <w:rsid w:val="00980B5F"/>
    <w:rsid w:val="009A3AD3"/>
    <w:rsid w:val="009B1EB4"/>
    <w:rsid w:val="009B2BEF"/>
    <w:rsid w:val="009C1848"/>
    <w:rsid w:val="009E5627"/>
    <w:rsid w:val="009F4638"/>
    <w:rsid w:val="00A247AF"/>
    <w:rsid w:val="00A26507"/>
    <w:rsid w:val="00A334F7"/>
    <w:rsid w:val="00A5231E"/>
    <w:rsid w:val="00A573E4"/>
    <w:rsid w:val="00A6374E"/>
    <w:rsid w:val="00A709C7"/>
    <w:rsid w:val="00A87BC8"/>
    <w:rsid w:val="00A936DF"/>
    <w:rsid w:val="00AA465F"/>
    <w:rsid w:val="00AA5912"/>
    <w:rsid w:val="00AB1D18"/>
    <w:rsid w:val="00AB46A9"/>
    <w:rsid w:val="00AB4704"/>
    <w:rsid w:val="00AB6112"/>
    <w:rsid w:val="00AB772E"/>
    <w:rsid w:val="00AD246C"/>
    <w:rsid w:val="00AD26CA"/>
    <w:rsid w:val="00AD630A"/>
    <w:rsid w:val="00AE222D"/>
    <w:rsid w:val="00AE4833"/>
    <w:rsid w:val="00AE55FE"/>
    <w:rsid w:val="00AF211E"/>
    <w:rsid w:val="00B01BDE"/>
    <w:rsid w:val="00B028D0"/>
    <w:rsid w:val="00B1269E"/>
    <w:rsid w:val="00B42487"/>
    <w:rsid w:val="00B44372"/>
    <w:rsid w:val="00B514D5"/>
    <w:rsid w:val="00B56501"/>
    <w:rsid w:val="00B626E7"/>
    <w:rsid w:val="00B803D9"/>
    <w:rsid w:val="00B81F52"/>
    <w:rsid w:val="00B93F3C"/>
    <w:rsid w:val="00B95682"/>
    <w:rsid w:val="00BA7B0D"/>
    <w:rsid w:val="00BB3F21"/>
    <w:rsid w:val="00BB6689"/>
    <w:rsid w:val="00BC2A3D"/>
    <w:rsid w:val="00BD0875"/>
    <w:rsid w:val="00BE0AC6"/>
    <w:rsid w:val="00BE1FBA"/>
    <w:rsid w:val="00BE694A"/>
    <w:rsid w:val="00C10948"/>
    <w:rsid w:val="00C207BB"/>
    <w:rsid w:val="00C42707"/>
    <w:rsid w:val="00C43D84"/>
    <w:rsid w:val="00C46300"/>
    <w:rsid w:val="00C56DD8"/>
    <w:rsid w:val="00C73FED"/>
    <w:rsid w:val="00C7736E"/>
    <w:rsid w:val="00C80836"/>
    <w:rsid w:val="00C84230"/>
    <w:rsid w:val="00C919A2"/>
    <w:rsid w:val="00C92635"/>
    <w:rsid w:val="00C93824"/>
    <w:rsid w:val="00CB38EE"/>
    <w:rsid w:val="00CD157B"/>
    <w:rsid w:val="00CE29F8"/>
    <w:rsid w:val="00CF765A"/>
    <w:rsid w:val="00CF7A54"/>
    <w:rsid w:val="00D07B49"/>
    <w:rsid w:val="00D13D32"/>
    <w:rsid w:val="00D14B91"/>
    <w:rsid w:val="00D21CAF"/>
    <w:rsid w:val="00D226D5"/>
    <w:rsid w:val="00D347C1"/>
    <w:rsid w:val="00D37318"/>
    <w:rsid w:val="00D4039B"/>
    <w:rsid w:val="00D4269A"/>
    <w:rsid w:val="00D44113"/>
    <w:rsid w:val="00D47E2D"/>
    <w:rsid w:val="00D5483B"/>
    <w:rsid w:val="00D5726E"/>
    <w:rsid w:val="00D631E2"/>
    <w:rsid w:val="00D634AA"/>
    <w:rsid w:val="00D6611B"/>
    <w:rsid w:val="00D71CFC"/>
    <w:rsid w:val="00D8248A"/>
    <w:rsid w:val="00D834C1"/>
    <w:rsid w:val="00D844F8"/>
    <w:rsid w:val="00D853FC"/>
    <w:rsid w:val="00D91760"/>
    <w:rsid w:val="00D94A26"/>
    <w:rsid w:val="00DA4172"/>
    <w:rsid w:val="00DA508F"/>
    <w:rsid w:val="00DA6FD0"/>
    <w:rsid w:val="00DA72A2"/>
    <w:rsid w:val="00DB0BD1"/>
    <w:rsid w:val="00DD0E0B"/>
    <w:rsid w:val="00DD574E"/>
    <w:rsid w:val="00DD632A"/>
    <w:rsid w:val="00DF2E33"/>
    <w:rsid w:val="00E0450A"/>
    <w:rsid w:val="00E174B4"/>
    <w:rsid w:val="00E31E55"/>
    <w:rsid w:val="00E51A54"/>
    <w:rsid w:val="00E552D3"/>
    <w:rsid w:val="00E5619E"/>
    <w:rsid w:val="00E57678"/>
    <w:rsid w:val="00E816D4"/>
    <w:rsid w:val="00E847FB"/>
    <w:rsid w:val="00E91B0F"/>
    <w:rsid w:val="00E94866"/>
    <w:rsid w:val="00E94F10"/>
    <w:rsid w:val="00EB1CF5"/>
    <w:rsid w:val="00EB7B07"/>
    <w:rsid w:val="00EC1BCE"/>
    <w:rsid w:val="00EC4FE9"/>
    <w:rsid w:val="00EE2BEE"/>
    <w:rsid w:val="00EE44E2"/>
    <w:rsid w:val="00EE5FD4"/>
    <w:rsid w:val="00EF2051"/>
    <w:rsid w:val="00EF7479"/>
    <w:rsid w:val="00F018AF"/>
    <w:rsid w:val="00F027A6"/>
    <w:rsid w:val="00F03F4E"/>
    <w:rsid w:val="00F17E35"/>
    <w:rsid w:val="00F311F6"/>
    <w:rsid w:val="00F3133B"/>
    <w:rsid w:val="00F35F54"/>
    <w:rsid w:val="00F470C0"/>
    <w:rsid w:val="00F50AB7"/>
    <w:rsid w:val="00F54143"/>
    <w:rsid w:val="00F56D51"/>
    <w:rsid w:val="00F6674D"/>
    <w:rsid w:val="00F815DD"/>
    <w:rsid w:val="00F85CCB"/>
    <w:rsid w:val="00F87F6E"/>
    <w:rsid w:val="00FA7EC0"/>
    <w:rsid w:val="00FB3092"/>
    <w:rsid w:val="00FB309C"/>
    <w:rsid w:val="00FB7A82"/>
    <w:rsid w:val="00FC61A7"/>
    <w:rsid w:val="00FC7078"/>
    <w:rsid w:val="00FD3E74"/>
    <w:rsid w:val="00FE0AAC"/>
    <w:rsid w:val="00FE0B4E"/>
    <w:rsid w:val="00FE0E85"/>
    <w:rsid w:val="00FE2C93"/>
    <w:rsid w:val="00FE41C0"/>
    <w:rsid w:val="00FF0FED"/>
    <w:rsid w:val="00FF4710"/>
    <w:rsid w:val="01C65804"/>
    <w:rsid w:val="0663B50A"/>
    <w:rsid w:val="09185C6F"/>
    <w:rsid w:val="0B015F24"/>
    <w:rsid w:val="1B8ECB4E"/>
    <w:rsid w:val="2D1C7441"/>
    <w:rsid w:val="2D55A69E"/>
    <w:rsid w:val="2E677827"/>
    <w:rsid w:val="37180F5A"/>
    <w:rsid w:val="3E794BA9"/>
    <w:rsid w:val="495D44CA"/>
    <w:rsid w:val="4C33BDBB"/>
    <w:rsid w:val="585B8AEB"/>
    <w:rsid w:val="61A8E90C"/>
    <w:rsid w:val="671FDB34"/>
    <w:rsid w:val="6A52B885"/>
    <w:rsid w:val="725EED7E"/>
    <w:rsid w:val="79F5F6FD"/>
    <w:rsid w:val="7B288D87"/>
    <w:rsid w:val="7DAB3223"/>
    <w:rsid w:val="7DE0B60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CAB80F35-11A7-4B9D-ACDB-46BE1C2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C2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202F4"/>
    <w:pPr>
      <w:tabs>
        <w:tab w:val="center" w:pos="4536"/>
        <w:tab w:val="right" w:pos="9072"/>
      </w:tabs>
    </w:pPr>
  </w:style>
  <w:style w:type="character" w:customStyle="1" w:styleId="HlavikaChar">
    <w:name w:val="Hlavička Char"/>
    <w:basedOn w:val="Predvolenpsmoodseku"/>
    <w:link w:val="Hlavika"/>
    <w:uiPriority w:val="99"/>
    <w:rsid w:val="007202F4"/>
    <w:rPr>
      <w:rFonts w:eastAsia="Times New Roman" w:cs="Times New Roman"/>
      <w:sz w:val="20"/>
      <w:szCs w:val="22"/>
      <w:lang w:val="en-US"/>
    </w:rPr>
  </w:style>
  <w:style w:type="paragraph" w:styleId="Pta">
    <w:name w:val="footer"/>
    <w:basedOn w:val="Normlny"/>
    <w:link w:val="PtaChar"/>
    <w:uiPriority w:val="99"/>
    <w:unhideWhenUsed/>
    <w:rsid w:val="007202F4"/>
    <w:pPr>
      <w:tabs>
        <w:tab w:val="center" w:pos="4536"/>
        <w:tab w:val="right" w:pos="9072"/>
      </w:tabs>
    </w:pPr>
  </w:style>
  <w:style w:type="character" w:customStyle="1" w:styleId="PtaChar">
    <w:name w:val="Päta Char"/>
    <w:basedOn w:val="Predvolenpsmoodseku"/>
    <w:link w:val="Pta"/>
    <w:uiPriority w:val="99"/>
    <w:rsid w:val="007202F4"/>
    <w:rPr>
      <w:rFonts w:eastAsia="Times New Roman" w:cs="Times New Roman"/>
      <w:sz w:val="20"/>
      <w:szCs w:val="22"/>
      <w:lang w:val="en-US"/>
    </w:rPr>
  </w:style>
  <w:style w:type="character" w:styleId="Nevyrieenzmienka">
    <w:name w:val="Unresolved Mention"/>
    <w:basedOn w:val="Predvolenpsmoodseku"/>
    <w:uiPriority w:val="99"/>
    <w:semiHidden/>
    <w:unhideWhenUsed/>
    <w:rsid w:val="00F0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5227</Words>
  <Characters>29800</Characters>
  <Application>Microsoft Office Word</Application>
  <DocSecurity>0</DocSecurity>
  <Lines>248</Lines>
  <Paragraphs>69</Paragraphs>
  <ScaleCrop>false</ScaleCrop>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Veronika Sestakova</cp:lastModifiedBy>
  <cp:revision>133</cp:revision>
  <dcterms:created xsi:type="dcterms:W3CDTF">2022-10-03T16:07:00Z</dcterms:created>
  <dcterms:modified xsi:type="dcterms:W3CDTF">2024-08-22T15:32:00Z</dcterms:modified>
</cp:coreProperties>
</file>