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744809"/>
        <w:docPartObj>
          <w:docPartGallery w:val="Cover Pages"/>
          <w:docPartUnique/>
        </w:docPartObj>
      </w:sdtPr>
      <w:sdtContent>
        <w:p w:rsidR="00AB2250" w:rsidRDefault="001644C1">
          <w:r w:rsidRPr="001644C1">
            <w:rPr>
              <w:noProof/>
            </w:rPr>
            <w:pict>
              <v:group id="_x0000_s1026" style="position:absolute;margin-left:-.15pt;margin-top:0;width:594.85pt;height:700.1pt;z-index:251660288;mso-width-percent:1000;mso-height-percent:1000;mso-position-horizontal-relative:page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d8d8d8 [2732]" stroked="f">
                      <v:fill opacity="52429f" color2="fill darken(118)" rotate="t" method="linear sigma" focus="100%" type="gradient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ff9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ffc" stroked="f">
                      <v:fill opacity="45220f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ff3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yellow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ffff75" stroked="f">
                    <v:fill opacity="53084f"/>
                    <v:path arrowok="t"/>
                  </v:shape>
                </v:group>
                <v:rect id="_x0000_s1038" style="position:absolute;left:1800;top:1440;width:8638;height:964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">
                    <w:txbxContent>
                      <w:p w:rsidR="00AB2250" w:rsidRDefault="00AB2250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  <w:p w:rsidR="00AB2250" w:rsidRDefault="00AB2250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1566;mso-position-horizontal-relative:margin;mso-position-vertical-relative:margin" filled="f" stroked="f">
                  <v:textbox style="mso-next-textbox:#_x0000_s1039">
                    <w:txbxContent>
                      <w:sdt>
                        <w:sdtPr>
                          <w:rPr>
                            <w:b/>
                            <w:i/>
                            <w:shadow/>
                            <w:sz w:val="96"/>
                            <w:szCs w:val="96"/>
                          </w:rPr>
                          <w:alias w:val="Rok"/>
                          <w:id w:val="1745010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3-01-01T00:00:00Z">
                            <w:dateFormat w:val="yyyy"/>
                            <w:lid w:val="cs-CZ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AB2250" w:rsidRPr="007F48ED" w:rsidRDefault="00885A92">
                            <w:pPr>
                              <w:jc w:val="right"/>
                              <w:rPr>
                                <w:b/>
                                <w:i/>
                                <w:sz w:val="96"/>
                                <w:szCs w:val="96"/>
                              </w:rPr>
                            </w:pPr>
                            <w:r w:rsidRPr="007F48ED">
                              <w:rPr>
                                <w:b/>
                                <w:i/>
                                <w:shadow/>
                                <w:sz w:val="96"/>
                                <w:szCs w:val="96"/>
                              </w:rPr>
                              <w:t>202</w:t>
                            </w:r>
                            <w:r w:rsidR="008112BF">
                              <w:rPr>
                                <w:b/>
                                <w:i/>
                                <w:shadow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sz w:val="72"/>
                            <w:szCs w:val="72"/>
                          </w:rPr>
                          <w:alias w:val="Název"/>
                          <w:id w:val="1745011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AB2250" w:rsidRDefault="00AB225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</w:rPr>
                            </w:pPr>
                            <w:r w:rsidRPr="00AB2250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Technická zpráva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sz w:val="40"/>
                            <w:szCs w:val="40"/>
                          </w:rPr>
                          <w:alias w:val="Podtitul"/>
                          <w:id w:val="4107175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AB2250" w:rsidRDefault="008112BF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SOŠOS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Mladosť</w:t>
                            </w:r>
                            <w:proofErr w:type="spellEnd"/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sz w:val="40"/>
                            <w:szCs w:val="40"/>
                          </w:rPr>
                          <w:alias w:val="Autor"/>
                          <w:id w:val="1745013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AB2250" w:rsidRDefault="00AB2250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 w:rsidRPr="00AB2250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KP-</w:t>
                            </w:r>
                            <w:r w:rsidR="008112BF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2310-0125</w:t>
                            </w:r>
                          </w:p>
                        </w:sdtContent>
                      </w:sdt>
                      <w:p w:rsidR="00AB2250" w:rsidRDefault="00AB2250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AB2250" w:rsidRDefault="00AB2250"/>
        <w:p w:rsidR="00AB2250" w:rsidRDefault="00802984">
          <w:r>
            <w:rPr>
              <w:noProof/>
              <w:lang w:val="sk-SK" w:eastAsia="zh-CN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603328</wp:posOffset>
                </wp:positionH>
                <wp:positionV relativeFrom="paragraph">
                  <wp:posOffset>4916336</wp:posOffset>
                </wp:positionV>
                <wp:extent cx="3113901" cy="1640910"/>
                <wp:effectExtent l="0" t="0" r="0" b="0"/>
                <wp:wrapNone/>
                <wp:docPr id="8" name="Obrázek 7" descr="5s5dasd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5s5dasda.png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13901" cy="1640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A2936" w:rsidRPr="002A2936">
            <w:t xml:space="preserve"> </w:t>
          </w:r>
          <w:r w:rsidR="00AB2250">
            <w:br w:type="page"/>
          </w:r>
        </w:p>
      </w:sdtContent>
    </w:sdt>
    <w:p w:rsidR="00BC7339" w:rsidRDefault="00BC7339"/>
    <w:p w:rsidR="00BC7339" w:rsidRDefault="00BC7339"/>
    <w:p w:rsidR="00954A34" w:rsidRDefault="00954A34"/>
    <w:p w:rsidR="00954A34" w:rsidRDefault="00954A34"/>
    <w:p w:rsidR="00BC7339" w:rsidRDefault="00BC7339"/>
    <w:p w:rsidR="004B7A53" w:rsidRDefault="004B7A53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8112BF" w:rsidRDefault="008112BF" w:rsidP="00E24A80">
      <w:pPr>
        <w:jc w:val="center"/>
        <w:rPr>
          <w:noProof/>
          <w:lang w:eastAsia="cs-CZ"/>
        </w:rPr>
      </w:pPr>
    </w:p>
    <w:p w:rsidR="00E24A80" w:rsidRDefault="00E24A80"/>
    <w:tbl>
      <w:tblPr>
        <w:tblStyle w:val="Mriekatabuky"/>
        <w:tblW w:w="0" w:type="auto"/>
        <w:tblLook w:val="04A0"/>
      </w:tblPr>
      <w:tblGrid>
        <w:gridCol w:w="1944"/>
        <w:gridCol w:w="7344"/>
      </w:tblGrid>
      <w:tr w:rsidR="002560AD" w:rsidRPr="007047C7" w:rsidTr="00F40153">
        <w:trPr>
          <w:trHeight w:val="567"/>
        </w:trPr>
        <w:tc>
          <w:tcPr>
            <w:tcW w:w="1835" w:type="dxa"/>
            <w:tcBorders>
              <w:bottom w:val="single" w:sz="12" w:space="0" w:color="FFFFFF" w:themeColor="background1"/>
            </w:tcBorders>
            <w:shd w:val="clear" w:color="auto" w:fill="000000" w:themeFill="text1"/>
            <w:vAlign w:val="center"/>
          </w:tcPr>
          <w:p w:rsidR="002560AD" w:rsidRPr="007047C7" w:rsidRDefault="008112BF" w:rsidP="008112BF">
            <w:pPr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Objednavatel</w:t>
            </w:r>
            <w:r w:rsidR="002560AD" w:rsidRPr="007047C7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:</w:t>
            </w:r>
          </w:p>
        </w:tc>
        <w:tc>
          <w:tcPr>
            <w:tcW w:w="7377" w:type="dxa"/>
            <w:shd w:val="clear" w:color="auto" w:fill="D9D9D9" w:themeFill="background1" w:themeFillShade="D9"/>
            <w:vAlign w:val="center"/>
          </w:tcPr>
          <w:p w:rsidR="008112BF" w:rsidRPr="008112BF" w:rsidRDefault="008112BF" w:rsidP="008112BF">
            <w:pPr>
              <w:ind w:left="2262" w:hanging="2262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8112BF">
              <w:rPr>
                <w:rFonts w:ascii="Arial" w:hAnsi="Arial" w:cs="Arial"/>
                <w:sz w:val="28"/>
                <w:szCs w:val="28"/>
              </w:rPr>
              <w:t>StavoMat</w:t>
            </w:r>
            <w:proofErr w:type="spellEnd"/>
            <w:r w:rsidRPr="008112BF">
              <w:rPr>
                <w:rFonts w:ascii="Arial" w:hAnsi="Arial" w:cs="Arial"/>
                <w:sz w:val="28"/>
                <w:szCs w:val="28"/>
              </w:rPr>
              <w:t xml:space="preserve"> RS s.</w:t>
            </w:r>
            <w:proofErr w:type="spellStart"/>
            <w:r w:rsidRPr="008112BF">
              <w:rPr>
                <w:rFonts w:ascii="Arial" w:hAnsi="Arial" w:cs="Arial"/>
                <w:sz w:val="28"/>
                <w:szCs w:val="28"/>
              </w:rPr>
              <w:t>r.o</w:t>
            </w:r>
            <w:proofErr w:type="spellEnd"/>
            <w:r w:rsidRPr="008112BF">
              <w:rPr>
                <w:rFonts w:ascii="Arial" w:hAnsi="Arial" w:cs="Arial"/>
                <w:sz w:val="28"/>
                <w:szCs w:val="28"/>
              </w:rPr>
              <w:t xml:space="preserve"> Trhové nám. 6</w:t>
            </w:r>
          </w:p>
          <w:p w:rsidR="002560AD" w:rsidRPr="00193FF2" w:rsidRDefault="008112BF" w:rsidP="008112BF">
            <w:pPr>
              <w:pStyle w:val="Zkladntext21"/>
              <w:widowControl/>
              <w:tabs>
                <w:tab w:val="left" w:pos="2268"/>
              </w:tabs>
              <w:spacing w:before="0"/>
              <w:ind w:left="2262" w:hanging="2262"/>
              <w:rPr>
                <w:rFonts w:ascii="Arial" w:hAnsi="Arial" w:cs="Arial"/>
                <w:sz w:val="28"/>
                <w:szCs w:val="28"/>
              </w:rPr>
            </w:pPr>
            <w:r w:rsidRPr="008112BF">
              <w:rPr>
                <w:rFonts w:ascii="Arial" w:hAnsi="Arial" w:cs="Arial"/>
                <w:sz w:val="28"/>
                <w:szCs w:val="28"/>
              </w:rPr>
              <w:t>Rimavská Sobota</w:t>
            </w:r>
          </w:p>
        </w:tc>
      </w:tr>
      <w:tr w:rsidR="00F35960" w:rsidRPr="007047C7" w:rsidTr="00F40153">
        <w:trPr>
          <w:trHeight w:val="567"/>
        </w:trPr>
        <w:tc>
          <w:tcPr>
            <w:tcW w:w="1835" w:type="dxa"/>
            <w:tcBorders>
              <w:bottom w:val="single" w:sz="12" w:space="0" w:color="FFFFFF" w:themeColor="background1"/>
            </w:tcBorders>
            <w:shd w:val="clear" w:color="auto" w:fill="000000" w:themeFill="text1"/>
            <w:vAlign w:val="center"/>
          </w:tcPr>
          <w:p w:rsidR="00F35960" w:rsidRDefault="00F35960" w:rsidP="008112BF">
            <w:pPr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Stavba:</w:t>
            </w:r>
          </w:p>
        </w:tc>
        <w:tc>
          <w:tcPr>
            <w:tcW w:w="7377" w:type="dxa"/>
            <w:shd w:val="clear" w:color="auto" w:fill="D9D9D9" w:themeFill="background1" w:themeFillShade="D9"/>
            <w:vAlign w:val="center"/>
          </w:tcPr>
          <w:p w:rsidR="00F35960" w:rsidRPr="008112BF" w:rsidRDefault="00F35960" w:rsidP="008112BF">
            <w:pPr>
              <w:ind w:left="2262" w:hanging="226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SOŠOS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Mladosť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,</w:t>
            </w:r>
          </w:p>
        </w:tc>
      </w:tr>
      <w:tr w:rsidR="002560AD" w:rsidRPr="007047C7" w:rsidTr="00EC350D">
        <w:trPr>
          <w:trHeight w:val="567"/>
        </w:trPr>
        <w:tc>
          <w:tcPr>
            <w:tcW w:w="1835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000000" w:themeFill="text1"/>
            <w:vAlign w:val="center"/>
          </w:tcPr>
          <w:p w:rsidR="002560AD" w:rsidRPr="007047C7" w:rsidRDefault="002560AD" w:rsidP="002560AD">
            <w:pPr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 w:rsidRPr="007047C7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Vypracovala:</w:t>
            </w:r>
          </w:p>
        </w:tc>
        <w:tc>
          <w:tcPr>
            <w:tcW w:w="7377" w:type="dxa"/>
            <w:shd w:val="clear" w:color="auto" w:fill="D9D9D9" w:themeFill="background1" w:themeFillShade="D9"/>
            <w:vAlign w:val="center"/>
          </w:tcPr>
          <w:p w:rsidR="002560AD" w:rsidRPr="007047C7" w:rsidRDefault="002560AD" w:rsidP="002560AD">
            <w:pPr>
              <w:rPr>
                <w:rFonts w:ascii="Arial" w:hAnsi="Arial" w:cs="Arial"/>
                <w:sz w:val="28"/>
                <w:szCs w:val="28"/>
              </w:rPr>
            </w:pPr>
            <w:r w:rsidRPr="007047C7">
              <w:rPr>
                <w:rFonts w:ascii="Arial" w:hAnsi="Arial" w:cs="Arial"/>
                <w:sz w:val="28"/>
                <w:szCs w:val="28"/>
              </w:rPr>
              <w:t>Ing. Foberová Iveta</w:t>
            </w:r>
          </w:p>
        </w:tc>
      </w:tr>
      <w:tr w:rsidR="002560AD" w:rsidRPr="007047C7" w:rsidTr="00EC350D">
        <w:trPr>
          <w:trHeight w:val="567"/>
        </w:trPr>
        <w:tc>
          <w:tcPr>
            <w:tcW w:w="1835" w:type="dxa"/>
            <w:tcBorders>
              <w:top w:val="single" w:sz="12" w:space="0" w:color="FFFFFF" w:themeColor="background1"/>
            </w:tcBorders>
            <w:shd w:val="clear" w:color="auto" w:fill="000000" w:themeFill="text1"/>
            <w:vAlign w:val="center"/>
          </w:tcPr>
          <w:p w:rsidR="002560AD" w:rsidRPr="007047C7" w:rsidRDefault="002560AD" w:rsidP="002560AD">
            <w:pPr>
              <w:rPr>
                <w:rFonts w:ascii="Arial" w:hAnsi="Arial" w:cs="Arial"/>
                <w:color w:val="FFFFFF" w:themeColor="background1"/>
                <w:sz w:val="28"/>
                <w:szCs w:val="28"/>
              </w:rPr>
            </w:pPr>
            <w:r w:rsidRPr="007047C7">
              <w:rPr>
                <w:rFonts w:ascii="Arial" w:hAnsi="Arial" w:cs="Arial"/>
                <w:color w:val="FFFFFF" w:themeColor="background1"/>
                <w:sz w:val="28"/>
                <w:szCs w:val="28"/>
              </w:rPr>
              <w:t>Datum:</w:t>
            </w:r>
          </w:p>
        </w:tc>
        <w:tc>
          <w:tcPr>
            <w:tcW w:w="7377" w:type="dxa"/>
            <w:shd w:val="clear" w:color="auto" w:fill="D9D9D9" w:themeFill="background1" w:themeFillShade="D9"/>
            <w:vAlign w:val="center"/>
          </w:tcPr>
          <w:p w:rsidR="002560AD" w:rsidRPr="007047C7" w:rsidRDefault="008112BF" w:rsidP="008112B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</w:t>
            </w:r>
            <w:r w:rsidR="002560AD" w:rsidRPr="007047C7">
              <w:rPr>
                <w:rFonts w:ascii="Arial" w:hAnsi="Arial" w:cs="Arial"/>
                <w:sz w:val="28"/>
                <w:szCs w:val="28"/>
              </w:rPr>
              <w:t>.</w:t>
            </w:r>
            <w:r w:rsidR="007047C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2560AD" w:rsidRPr="007047C7">
              <w:rPr>
                <w:rFonts w:ascii="Arial" w:hAnsi="Arial" w:cs="Arial"/>
                <w:sz w:val="28"/>
                <w:szCs w:val="28"/>
              </w:rPr>
              <w:t>.</w:t>
            </w:r>
            <w:r w:rsidR="007047C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560AD" w:rsidRPr="007047C7">
              <w:rPr>
                <w:rFonts w:ascii="Arial" w:hAnsi="Arial" w:cs="Arial"/>
                <w:sz w:val="28"/>
                <w:szCs w:val="28"/>
              </w:rPr>
              <w:t>202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:rsidR="00BC7339" w:rsidRDefault="00BC7339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p w:rsidR="00C575A1" w:rsidRDefault="00C575A1">
      <w:pPr>
        <w:rPr>
          <w:rFonts w:ascii="Arial" w:hAnsi="Arial" w:cs="Arial"/>
          <w:sz w:val="28"/>
          <w:szCs w:val="28"/>
        </w:rPr>
      </w:pPr>
    </w:p>
    <w:p w:rsidR="008112BF" w:rsidRDefault="008112BF">
      <w:pPr>
        <w:rPr>
          <w:rFonts w:ascii="Arial" w:hAnsi="Arial" w:cs="Arial"/>
          <w:sz w:val="28"/>
          <w:szCs w:val="28"/>
        </w:rPr>
      </w:pPr>
    </w:p>
    <w:p w:rsidR="00193FF2" w:rsidRDefault="00193FF2">
      <w:pPr>
        <w:rPr>
          <w:rFonts w:ascii="Arial" w:hAnsi="Arial" w:cs="Arial"/>
          <w:sz w:val="28"/>
          <w:szCs w:val="28"/>
        </w:rPr>
      </w:pPr>
    </w:p>
    <w:p w:rsidR="00193FF2" w:rsidRDefault="00193FF2">
      <w:pPr>
        <w:rPr>
          <w:rFonts w:ascii="Arial" w:hAnsi="Arial" w:cs="Arial"/>
          <w:sz w:val="28"/>
          <w:szCs w:val="28"/>
        </w:rPr>
      </w:pPr>
    </w:p>
    <w:p w:rsidR="00C8347A" w:rsidRDefault="00C8347A">
      <w:pPr>
        <w:rPr>
          <w:rFonts w:ascii="Arial" w:hAnsi="Arial" w:cs="Arial"/>
          <w:sz w:val="28"/>
          <w:szCs w:val="28"/>
        </w:rPr>
      </w:pPr>
    </w:p>
    <w:tbl>
      <w:tblPr>
        <w:tblStyle w:val="Mriekatabuky"/>
        <w:tblW w:w="0" w:type="auto"/>
        <w:tblLook w:val="04A0"/>
      </w:tblPr>
      <w:tblGrid>
        <w:gridCol w:w="9212"/>
      </w:tblGrid>
      <w:tr w:rsidR="00654046" w:rsidRPr="007047C7" w:rsidTr="00654046">
        <w:trPr>
          <w:trHeight w:val="567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046" w:rsidRPr="00654046" w:rsidRDefault="00654046" w:rsidP="00A823D8">
            <w:pPr>
              <w:pStyle w:val="Zkladntext21"/>
              <w:widowControl/>
              <w:tabs>
                <w:tab w:val="left" w:pos="2268"/>
              </w:tabs>
              <w:spacing w:before="0"/>
              <w:ind w:left="2262" w:hanging="2262"/>
              <w:rPr>
                <w:rFonts w:ascii="Arial" w:hAnsi="Arial" w:cs="Arial"/>
                <w:b/>
                <w:sz w:val="32"/>
                <w:szCs w:val="32"/>
              </w:rPr>
            </w:pPr>
            <w:r w:rsidRPr="00654046">
              <w:rPr>
                <w:rFonts w:ascii="Arial" w:hAnsi="Arial" w:cs="Arial"/>
                <w:b/>
                <w:sz w:val="32"/>
                <w:szCs w:val="32"/>
              </w:rPr>
              <w:t>Obsah:</w:t>
            </w:r>
          </w:p>
        </w:tc>
      </w:tr>
      <w:tr w:rsidR="00654046" w:rsidRPr="007047C7" w:rsidTr="00C575A1">
        <w:trPr>
          <w:trHeight w:val="567"/>
        </w:trPr>
        <w:tc>
          <w:tcPr>
            <w:tcW w:w="9212" w:type="dxa"/>
            <w:tcBorders>
              <w:bottom w:val="single" w:sz="6" w:space="0" w:color="auto"/>
            </w:tcBorders>
            <w:shd w:val="clear" w:color="auto" w:fill="ECECEC"/>
            <w:vAlign w:val="center"/>
          </w:tcPr>
          <w:p w:rsidR="00654046" w:rsidRPr="00654046" w:rsidRDefault="00654046" w:rsidP="00E46B02">
            <w:pPr>
              <w:pStyle w:val="Odsekzoznamu"/>
              <w:numPr>
                <w:ilvl w:val="0"/>
                <w:numId w:val="1"/>
              </w:numPr>
              <w:spacing w:before="240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654046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Popis výtahu</w:t>
            </w:r>
          </w:p>
          <w:p w:rsidR="00654046" w:rsidRPr="00C8347A" w:rsidRDefault="00654046" w:rsidP="00654046">
            <w:p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  <w:p w:rsidR="00654046" w:rsidRPr="00C8347A" w:rsidRDefault="00654046" w:rsidP="0065404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C8347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Základní parametry výtahu</w:t>
            </w:r>
          </w:p>
          <w:p w:rsidR="00654046" w:rsidRPr="00C8347A" w:rsidRDefault="00654046" w:rsidP="00654046">
            <w:p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  <w:p w:rsidR="00654046" w:rsidRPr="00C8347A" w:rsidRDefault="00654046" w:rsidP="0065404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C8347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Strojovna výtahu</w:t>
            </w:r>
          </w:p>
          <w:p w:rsidR="00654046" w:rsidRPr="00C8347A" w:rsidRDefault="00654046" w:rsidP="00654046">
            <w:p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  <w:p w:rsidR="00654046" w:rsidRPr="00C8347A" w:rsidRDefault="00654046" w:rsidP="0065404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C8347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Výtahová šachta</w:t>
            </w:r>
          </w:p>
          <w:p w:rsidR="00654046" w:rsidRPr="00C8347A" w:rsidRDefault="00654046" w:rsidP="00654046">
            <w:pPr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  <w:p w:rsidR="00654046" w:rsidRPr="00C8347A" w:rsidRDefault="00654046" w:rsidP="0065404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C8347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Zákony, normy, p</w:t>
            </w:r>
            <w:r w:rsidRPr="00C8347A">
              <w:rPr>
                <w:rFonts w:ascii="Arial" w:hAnsi="Arial" w:cs="Arial"/>
                <w:b/>
                <w:i/>
                <w:sz w:val="28"/>
                <w:szCs w:val="28"/>
              </w:rPr>
              <w:t>osouzení shody</w:t>
            </w:r>
          </w:p>
          <w:p w:rsidR="00654046" w:rsidRDefault="00654046" w:rsidP="00654046">
            <w:pPr>
              <w:pStyle w:val="Zkladntext21"/>
              <w:widowControl/>
              <w:tabs>
                <w:tab w:val="left" w:pos="2268"/>
              </w:tabs>
              <w:spacing w:before="0"/>
              <w:ind w:left="2262" w:hanging="2262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54046" w:rsidRDefault="00654046" w:rsidP="00C8347A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C8347A" w:rsidRDefault="00C8347A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p w:rsidR="00D525BF" w:rsidRDefault="00D525BF">
      <w:pPr>
        <w:rPr>
          <w:rFonts w:ascii="Arial" w:hAnsi="Arial" w:cs="Arial"/>
          <w:sz w:val="28"/>
          <w:szCs w:val="28"/>
        </w:rPr>
      </w:pPr>
    </w:p>
    <w:p w:rsidR="00654046" w:rsidRDefault="00654046">
      <w:pPr>
        <w:rPr>
          <w:rFonts w:ascii="Arial" w:hAnsi="Arial" w:cs="Arial"/>
          <w:sz w:val="28"/>
          <w:szCs w:val="28"/>
        </w:rPr>
      </w:pPr>
    </w:p>
    <w:tbl>
      <w:tblPr>
        <w:tblStyle w:val="Mriekatabuky"/>
        <w:tblW w:w="0" w:type="auto"/>
        <w:tblLook w:val="04A0"/>
      </w:tblPr>
      <w:tblGrid>
        <w:gridCol w:w="9212"/>
      </w:tblGrid>
      <w:tr w:rsidR="00654046" w:rsidRPr="00654046" w:rsidTr="00A823D8">
        <w:trPr>
          <w:trHeight w:val="567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4046" w:rsidRPr="00654046" w:rsidRDefault="00654046" w:rsidP="000A7341">
            <w:pPr>
              <w:pStyle w:val="Zkladntext21"/>
              <w:widowControl/>
              <w:numPr>
                <w:ilvl w:val="0"/>
                <w:numId w:val="3"/>
              </w:numPr>
              <w:tabs>
                <w:tab w:val="left" w:pos="2268"/>
              </w:tabs>
              <w:spacing w:before="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Popis výtahu</w:t>
            </w:r>
            <w:r w:rsidRPr="00654046">
              <w:rPr>
                <w:rFonts w:ascii="Arial" w:hAnsi="Arial" w:cs="Arial"/>
                <w:b/>
                <w:sz w:val="32"/>
                <w:szCs w:val="32"/>
              </w:rPr>
              <w:t>:</w:t>
            </w:r>
          </w:p>
        </w:tc>
      </w:tr>
      <w:tr w:rsidR="00654046" w:rsidTr="00A823D8">
        <w:trPr>
          <w:trHeight w:val="567"/>
        </w:trPr>
        <w:tc>
          <w:tcPr>
            <w:tcW w:w="9212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654046" w:rsidRDefault="00654046" w:rsidP="00654046">
            <w:pPr>
              <w:rPr>
                <w:rFonts w:ascii="Arial" w:hAnsi="Arial" w:cs="Arial"/>
                <w:sz w:val="28"/>
                <w:szCs w:val="28"/>
              </w:rPr>
            </w:pPr>
          </w:p>
          <w:p w:rsidR="00654046" w:rsidRPr="00654046" w:rsidRDefault="00654046" w:rsidP="00654046">
            <w:pPr>
              <w:pStyle w:val="Default"/>
              <w:ind w:firstLine="357"/>
              <w:rPr>
                <w:rFonts w:ascii="Arial" w:hAnsi="Arial" w:cs="Arial"/>
              </w:rPr>
            </w:pPr>
            <w:r w:rsidRPr="00654046">
              <w:rPr>
                <w:rFonts w:ascii="Arial" w:hAnsi="Arial" w:cs="Arial"/>
              </w:rPr>
              <w:t xml:space="preserve">Výtah je umístěn v budově o </w:t>
            </w:r>
            <w:r w:rsidR="008112BF">
              <w:rPr>
                <w:rFonts w:ascii="Arial" w:hAnsi="Arial" w:cs="Arial"/>
              </w:rPr>
              <w:t>4</w:t>
            </w:r>
            <w:r w:rsidR="006552E8">
              <w:rPr>
                <w:rFonts w:ascii="Arial" w:hAnsi="Arial" w:cs="Arial"/>
              </w:rPr>
              <w:t xml:space="preserve"> nadzemních </w:t>
            </w:r>
            <w:r w:rsidRPr="00654046">
              <w:rPr>
                <w:rFonts w:ascii="Arial" w:hAnsi="Arial" w:cs="Arial"/>
              </w:rPr>
              <w:t>podlažích</w:t>
            </w:r>
            <w:r w:rsidR="00D84DE9">
              <w:rPr>
                <w:rFonts w:ascii="Arial" w:hAnsi="Arial" w:cs="Arial"/>
              </w:rPr>
              <w:t xml:space="preserve"> a 1 podzemním</w:t>
            </w:r>
            <w:r w:rsidRPr="00654046">
              <w:rPr>
                <w:rFonts w:ascii="Arial" w:hAnsi="Arial" w:cs="Arial"/>
              </w:rPr>
              <w:t xml:space="preserve">. Výtah je určen ke svislé dopravě osob do celkové max. nosnosti </w:t>
            </w:r>
            <w:r w:rsidR="008112BF">
              <w:rPr>
                <w:rFonts w:ascii="Arial" w:hAnsi="Arial" w:cs="Arial"/>
              </w:rPr>
              <w:t>45</w:t>
            </w:r>
            <w:r w:rsidRPr="00654046">
              <w:rPr>
                <w:rFonts w:ascii="Arial" w:hAnsi="Arial" w:cs="Arial"/>
              </w:rPr>
              <w:t xml:space="preserve">0 kg (max. počet osob </w:t>
            </w:r>
            <w:r w:rsidR="008112BF">
              <w:rPr>
                <w:rFonts w:ascii="Arial" w:hAnsi="Arial" w:cs="Arial"/>
              </w:rPr>
              <w:t>6</w:t>
            </w:r>
            <w:r w:rsidRPr="00654046">
              <w:rPr>
                <w:rFonts w:ascii="Arial" w:hAnsi="Arial" w:cs="Arial"/>
              </w:rPr>
              <w:t xml:space="preserve">). Technologická část výtahu bude umístěna do </w:t>
            </w:r>
            <w:r w:rsidR="008112BF">
              <w:rPr>
                <w:rFonts w:ascii="Arial" w:hAnsi="Arial" w:cs="Arial"/>
              </w:rPr>
              <w:t>jednoho prostoru</w:t>
            </w:r>
            <w:r w:rsidRPr="00654046">
              <w:rPr>
                <w:rFonts w:ascii="Arial" w:hAnsi="Arial" w:cs="Arial"/>
              </w:rPr>
              <w:t xml:space="preserve"> - výtahové šachty. </w:t>
            </w:r>
          </w:p>
          <w:p w:rsidR="00654046" w:rsidRPr="00654046" w:rsidRDefault="00654046" w:rsidP="00654046">
            <w:pPr>
              <w:pStyle w:val="Default"/>
              <w:ind w:firstLine="357"/>
              <w:rPr>
                <w:rFonts w:ascii="Arial" w:hAnsi="Arial" w:cs="Arial"/>
              </w:rPr>
            </w:pPr>
            <w:r w:rsidRPr="00654046">
              <w:rPr>
                <w:rFonts w:ascii="Arial" w:hAnsi="Arial" w:cs="Arial"/>
              </w:rPr>
              <w:t>Výtah splňuje v max. míře STN EN 81-20</w:t>
            </w:r>
            <w:r w:rsidR="006552E8">
              <w:rPr>
                <w:rFonts w:ascii="Arial" w:hAnsi="Arial" w:cs="Arial"/>
              </w:rPr>
              <w:t xml:space="preserve"> </w:t>
            </w:r>
            <w:proofErr w:type="spellStart"/>
            <w:r w:rsidR="006552E8">
              <w:rPr>
                <w:rFonts w:ascii="Arial" w:hAnsi="Arial" w:cs="Arial"/>
              </w:rPr>
              <w:t>ed</w:t>
            </w:r>
            <w:proofErr w:type="spellEnd"/>
            <w:r w:rsidR="006552E8">
              <w:rPr>
                <w:rFonts w:ascii="Arial" w:hAnsi="Arial" w:cs="Arial"/>
              </w:rPr>
              <w:t>. 2</w:t>
            </w:r>
            <w:r w:rsidRPr="00654046">
              <w:rPr>
                <w:rFonts w:ascii="Arial" w:hAnsi="Arial" w:cs="Arial"/>
              </w:rPr>
              <w:t>. Vzhledem k šachtě ve stávající budově, bude přihlédnuto k normě EN 81-21.</w:t>
            </w:r>
          </w:p>
          <w:p w:rsidR="00654046" w:rsidRPr="00654046" w:rsidRDefault="00654046" w:rsidP="0065404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54046" w:rsidRDefault="00654046">
      <w:pPr>
        <w:rPr>
          <w:rFonts w:ascii="Arial" w:hAnsi="Arial" w:cs="Arial"/>
          <w:sz w:val="28"/>
          <w:szCs w:val="28"/>
        </w:rPr>
      </w:pPr>
    </w:p>
    <w:tbl>
      <w:tblPr>
        <w:tblStyle w:val="Mriekatabuky"/>
        <w:tblW w:w="0" w:type="auto"/>
        <w:tblLook w:val="04A0"/>
      </w:tblPr>
      <w:tblGrid>
        <w:gridCol w:w="3794"/>
        <w:gridCol w:w="5418"/>
      </w:tblGrid>
      <w:tr w:rsidR="00814E41" w:rsidRPr="00654046" w:rsidTr="00814E41">
        <w:trPr>
          <w:trHeight w:val="492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4E41" w:rsidRPr="00654046" w:rsidRDefault="00814E41" w:rsidP="000A7341">
            <w:pPr>
              <w:pStyle w:val="Zkladntext21"/>
              <w:widowControl/>
              <w:numPr>
                <w:ilvl w:val="0"/>
                <w:numId w:val="3"/>
              </w:numPr>
              <w:tabs>
                <w:tab w:val="left" w:pos="2268"/>
              </w:tabs>
              <w:spacing w:before="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Základní parametry výtahu</w:t>
            </w:r>
            <w:r w:rsidRPr="00654046">
              <w:rPr>
                <w:rFonts w:ascii="Arial" w:hAnsi="Arial" w:cs="Arial"/>
                <w:b/>
                <w:sz w:val="32"/>
                <w:szCs w:val="32"/>
              </w:rPr>
              <w:t>: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výtahu: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54478E" w:rsidP="008112B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8112BF">
              <w:rPr>
                <w:rFonts w:ascii="Arial" w:hAnsi="Arial" w:cs="Arial"/>
              </w:rPr>
              <w:t>H</w:t>
            </w:r>
            <w:r w:rsidR="006552E8">
              <w:rPr>
                <w:rFonts w:ascii="Arial" w:hAnsi="Arial" w:cs="Arial"/>
              </w:rPr>
              <w:t xml:space="preserve"> </w:t>
            </w:r>
            <w:r w:rsidR="008112BF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0/1,0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výtahu: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Ac1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Nosnost: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8112BF" w:rsidP="006552E8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r w:rsidR="0054478E">
              <w:rPr>
                <w:rFonts w:ascii="Arial" w:hAnsi="Arial" w:cs="Arial"/>
              </w:rPr>
              <w:t>0 kg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Jmenovitá rychlost: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6552E8" w:rsidP="008112B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8112BF">
              <w:rPr>
                <w:rFonts w:ascii="Arial" w:hAnsi="Arial" w:cs="Arial"/>
              </w:rPr>
              <w:t>5</w:t>
            </w:r>
            <w:r w:rsidR="0054478E">
              <w:rPr>
                <w:rFonts w:ascii="Arial" w:hAnsi="Arial" w:cs="Arial"/>
              </w:rPr>
              <w:t xml:space="preserve"> m/s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Dopravní zdvih: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8112BF" w:rsidP="00824CEC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10,775</w:t>
            </w:r>
            <w:r w:rsidR="0054478E">
              <w:rPr>
                <w:rFonts w:ascii="Arial" w:hAnsi="Arial" w:cs="Arial"/>
              </w:rPr>
              <w:t xml:space="preserve"> m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stanic/nástupišť: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8112BF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4/4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Systém řízení: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Sběr dolů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Výtahový stroj: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54478E" w:rsidRDefault="006552E8" w:rsidP="008112B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Start </w:t>
            </w:r>
            <w:proofErr w:type="spellStart"/>
            <w:r>
              <w:rPr>
                <w:rFonts w:ascii="Arial" w:hAnsi="Arial" w:cs="Arial"/>
              </w:rPr>
              <w:t>elevator</w:t>
            </w:r>
            <w:proofErr w:type="spellEnd"/>
            <w:r>
              <w:rPr>
                <w:rFonts w:ascii="Arial" w:hAnsi="Arial" w:cs="Arial"/>
              </w:rPr>
              <w:t>, 9</w:t>
            </w:r>
            <w:r w:rsidR="008112B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/E-2DS, 100l/min. 7,7 kW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Nosné prostředky: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54478E" w:rsidRDefault="00144F87" w:rsidP="0054478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4478E" w:rsidRPr="0054478E">
              <w:rPr>
                <w:rFonts w:ascii="Arial" w:hAnsi="Arial" w:cs="Arial"/>
              </w:rPr>
              <w:t xml:space="preserve">x ocelové lano </w:t>
            </w:r>
            <w:r w:rsidR="0054478E">
              <w:rPr>
                <w:rFonts w:ascii="Arial" w:hAnsi="Arial" w:cs="Arial"/>
              </w:rPr>
              <w:t xml:space="preserve">průměru </w:t>
            </w:r>
            <w:r w:rsidR="0054478E" w:rsidRPr="0054478E">
              <w:rPr>
                <w:rFonts w:ascii="Arial" w:hAnsi="Arial" w:cs="Arial"/>
              </w:rPr>
              <w:t>10 mm</w:t>
            </w:r>
            <w:r w:rsidR="0054478E">
              <w:rPr>
                <w:rFonts w:ascii="Arial" w:hAnsi="Arial" w:cs="Arial"/>
              </w:rPr>
              <w:t>,</w:t>
            </w:r>
          </w:p>
          <w:p w:rsidR="00814E41" w:rsidRPr="0054478E" w:rsidRDefault="0054478E" w:rsidP="00144F87">
            <w:pPr>
              <w:pStyle w:val="Default"/>
              <w:rPr>
                <w:rFonts w:ascii="Arial" w:hAnsi="Arial" w:cs="Arial"/>
              </w:rPr>
            </w:pPr>
            <w:r w:rsidRPr="0054478E">
              <w:rPr>
                <w:rFonts w:ascii="Arial" w:hAnsi="Arial" w:cs="Arial"/>
              </w:rPr>
              <w:t xml:space="preserve"> WOLF PAWO </w:t>
            </w:r>
            <w:r w:rsidR="00144F87">
              <w:rPr>
                <w:rFonts w:ascii="Arial" w:hAnsi="Arial" w:cs="Arial"/>
              </w:rPr>
              <w:t>819 W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Klec výtahu: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54478E" w:rsidP="008112B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Neprůchozí, </w:t>
            </w:r>
            <w:r w:rsidR="008112BF">
              <w:rPr>
                <w:rFonts w:ascii="Arial" w:hAnsi="Arial" w:cs="Arial"/>
              </w:rPr>
              <w:t>95</w:t>
            </w:r>
            <w:r>
              <w:rPr>
                <w:rFonts w:ascii="Arial" w:hAnsi="Arial" w:cs="Arial"/>
              </w:rPr>
              <w:t>0x1</w:t>
            </w:r>
            <w:r w:rsidR="008112BF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>0x2100 mm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Vyvažovací závaží: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144F87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Není použito</w:t>
            </w:r>
          </w:p>
        </w:tc>
      </w:tr>
      <w:tr w:rsidR="00814E41" w:rsidTr="000A7341">
        <w:trPr>
          <w:trHeight w:val="454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144F87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Závěs lan klece/</w:t>
            </w:r>
            <w:r w:rsidR="00144F87">
              <w:rPr>
                <w:rFonts w:ascii="Arial" w:hAnsi="Arial" w:cs="Arial"/>
              </w:rPr>
              <w:t>HEB profilu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54478E" w:rsidP="00144F87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rámu, </w:t>
            </w:r>
            <w:r w:rsidR="00144F87">
              <w:rPr>
                <w:rFonts w:ascii="Arial" w:hAnsi="Arial" w:cs="Arial"/>
              </w:rPr>
              <w:t>závěsný šroub s pružinou a trubkou/závěsný šroub</w:t>
            </w:r>
          </w:p>
        </w:tc>
      </w:tr>
      <w:tr w:rsidR="00814E41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Zachycovače klece: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144F87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Jednosměrné, IN 6000</w:t>
            </w:r>
          </w:p>
        </w:tc>
      </w:tr>
      <w:tr w:rsidR="00814E41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Omezovač rychlosti: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54478E" w:rsidRDefault="00144F87" w:rsidP="000A5B0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Není použit</w:t>
            </w:r>
          </w:p>
        </w:tc>
      </w:tr>
      <w:tr w:rsidR="00814E41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UCM: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144F87" w:rsidRDefault="00144F87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44F87">
              <w:rPr>
                <w:rFonts w:ascii="Arial" w:hAnsi="Arial" w:cs="Arial"/>
              </w:rPr>
              <w:t>vojitý bezpečnostní ventil 2DS</w:t>
            </w:r>
          </w:p>
        </w:tc>
      </w:tr>
      <w:tr w:rsidR="00814E41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54478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nárazníku klece/protiváhy: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814E41" w:rsidRDefault="0054478E" w:rsidP="00144F87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A5B0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D – 100x80 – 2x pod klecí</w:t>
            </w:r>
          </w:p>
        </w:tc>
      </w:tr>
      <w:tr w:rsidR="00814E41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814E41" w:rsidRPr="00814E41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Šachetní dveře: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814E41" w:rsidRPr="0054478E" w:rsidRDefault="00144F87" w:rsidP="00824CEC">
            <w:pPr>
              <w:pStyle w:val="Defaul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Wittur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="009A2B47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ugusty </w:t>
            </w:r>
            <w:r w:rsidR="009A2B47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vo</w:t>
            </w:r>
            <w:r w:rsidR="000A7341">
              <w:rPr>
                <w:rFonts w:ascii="Arial" w:hAnsi="Arial" w:cs="Arial"/>
              </w:rPr>
              <w:t xml:space="preserve">, š x v = </w:t>
            </w:r>
            <w:r w:rsidR="0054478E" w:rsidRPr="0054478E">
              <w:rPr>
                <w:rFonts w:ascii="Arial" w:hAnsi="Arial" w:cs="Arial"/>
              </w:rPr>
              <w:t xml:space="preserve"> </w:t>
            </w:r>
            <w:r w:rsidR="00824CEC">
              <w:rPr>
                <w:rFonts w:ascii="Arial" w:hAnsi="Arial" w:cs="Arial"/>
              </w:rPr>
              <w:t>8</w:t>
            </w:r>
            <w:r w:rsidR="0054478E" w:rsidRPr="0054478E">
              <w:rPr>
                <w:rFonts w:ascii="Arial" w:hAnsi="Arial" w:cs="Arial"/>
              </w:rPr>
              <w:t>00</w:t>
            </w:r>
            <w:r w:rsidR="000A7341">
              <w:rPr>
                <w:rFonts w:ascii="Arial" w:hAnsi="Arial" w:cs="Arial"/>
              </w:rPr>
              <w:t>x2000 mm</w:t>
            </w:r>
          </w:p>
        </w:tc>
      </w:tr>
      <w:tr w:rsidR="0054478E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54478E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Kabinové dveře: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54478E" w:rsidRPr="00814E41" w:rsidRDefault="009A2B47" w:rsidP="00824CEC">
            <w:pPr>
              <w:pStyle w:val="Defaul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Wittur</w:t>
            </w:r>
            <w:proofErr w:type="spellEnd"/>
            <w:r>
              <w:rPr>
                <w:rFonts w:ascii="Arial" w:hAnsi="Arial" w:cs="Arial"/>
              </w:rPr>
              <w:t xml:space="preserve">, Augusty Evo, š x v = </w:t>
            </w:r>
            <w:r w:rsidRPr="0054478E">
              <w:rPr>
                <w:rFonts w:ascii="Arial" w:hAnsi="Arial" w:cs="Arial"/>
              </w:rPr>
              <w:t xml:space="preserve"> </w:t>
            </w:r>
            <w:r w:rsidR="00824CEC">
              <w:rPr>
                <w:rFonts w:ascii="Arial" w:hAnsi="Arial" w:cs="Arial"/>
              </w:rPr>
              <w:t>8</w:t>
            </w:r>
            <w:r w:rsidRPr="0054478E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x2000 mm</w:t>
            </w:r>
          </w:p>
        </w:tc>
      </w:tr>
      <w:tr w:rsidR="0054478E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54478E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Poloha strojovny výtahu: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54478E" w:rsidRPr="00814E41" w:rsidRDefault="00144F87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Vedle</w:t>
            </w:r>
            <w:r w:rsidR="000A7341">
              <w:rPr>
                <w:rFonts w:ascii="Arial" w:hAnsi="Arial" w:cs="Arial"/>
              </w:rPr>
              <w:t xml:space="preserve"> šacht</w:t>
            </w:r>
            <w:r>
              <w:rPr>
                <w:rFonts w:ascii="Arial" w:hAnsi="Arial" w:cs="Arial"/>
              </w:rPr>
              <w:t>y v nejnižší stanici</w:t>
            </w:r>
          </w:p>
        </w:tc>
      </w:tr>
      <w:tr w:rsidR="0054478E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54478E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Připojení na soustavu: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54478E" w:rsidRPr="00144F87" w:rsidRDefault="00144F87" w:rsidP="00814E41">
            <w:pPr>
              <w:pStyle w:val="Default"/>
              <w:rPr>
                <w:rFonts w:ascii="Arial" w:hAnsi="Arial" w:cs="Arial"/>
              </w:rPr>
            </w:pPr>
            <w:r w:rsidRPr="00144F87">
              <w:rPr>
                <w:rFonts w:ascii="Arial" w:hAnsi="Arial" w:cs="Arial"/>
              </w:rPr>
              <w:t>3 PE+N 50 Hz, 400 V, TNS</w:t>
            </w:r>
          </w:p>
        </w:tc>
      </w:tr>
      <w:tr w:rsidR="0054478E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54478E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rozvaděče výtahu: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54478E" w:rsidRPr="00814E41" w:rsidRDefault="000A7341" w:rsidP="00814E41">
            <w:pPr>
              <w:pStyle w:val="Defaul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Tvrdex</w:t>
            </w:r>
            <w:proofErr w:type="spellEnd"/>
            <w:r>
              <w:rPr>
                <w:rFonts w:ascii="Arial" w:hAnsi="Arial" w:cs="Arial"/>
              </w:rPr>
              <w:t xml:space="preserve"> s.r.o.</w:t>
            </w:r>
          </w:p>
        </w:tc>
      </w:tr>
      <w:tr w:rsidR="0054478E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54478E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Ochrana před úrazem elektrickým proudem: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54478E" w:rsidRPr="00814E41" w:rsidRDefault="000A7341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Automatickým odpojením</w:t>
            </w:r>
          </w:p>
        </w:tc>
      </w:tr>
      <w:tr w:rsidR="0054478E" w:rsidTr="009A2B47">
        <w:trPr>
          <w:trHeight w:val="397"/>
        </w:trPr>
        <w:tc>
          <w:tcPr>
            <w:tcW w:w="3794" w:type="dxa"/>
            <w:shd w:val="clear" w:color="auto" w:fill="ECECEC"/>
            <w:vAlign w:val="center"/>
          </w:tcPr>
          <w:p w:rsidR="0054478E" w:rsidRDefault="0054478E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Prostředí výtahu:</w:t>
            </w:r>
          </w:p>
        </w:tc>
        <w:tc>
          <w:tcPr>
            <w:tcW w:w="5418" w:type="dxa"/>
            <w:shd w:val="clear" w:color="auto" w:fill="FFFFFF" w:themeFill="background1"/>
            <w:vAlign w:val="center"/>
          </w:tcPr>
          <w:p w:rsidR="0054478E" w:rsidRPr="00814E41" w:rsidRDefault="000A7341" w:rsidP="00814E4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Normální AA5</w:t>
            </w:r>
          </w:p>
        </w:tc>
      </w:tr>
    </w:tbl>
    <w:p w:rsidR="00E14DC2" w:rsidRDefault="00E14DC2">
      <w:pPr>
        <w:rPr>
          <w:rFonts w:ascii="Arial" w:hAnsi="Arial" w:cs="Arial"/>
          <w:sz w:val="28"/>
          <w:szCs w:val="28"/>
        </w:rPr>
      </w:pPr>
    </w:p>
    <w:tbl>
      <w:tblPr>
        <w:tblStyle w:val="Mriekatabuky"/>
        <w:tblW w:w="0" w:type="auto"/>
        <w:tblLook w:val="04A0"/>
      </w:tblPr>
      <w:tblGrid>
        <w:gridCol w:w="9212"/>
      </w:tblGrid>
      <w:tr w:rsidR="000A7341" w:rsidRPr="00654046" w:rsidTr="00A823D8">
        <w:trPr>
          <w:trHeight w:val="567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341" w:rsidRPr="00654046" w:rsidRDefault="000A7341" w:rsidP="000A7341">
            <w:pPr>
              <w:pStyle w:val="Zkladntext21"/>
              <w:widowControl/>
              <w:numPr>
                <w:ilvl w:val="0"/>
                <w:numId w:val="3"/>
              </w:numPr>
              <w:tabs>
                <w:tab w:val="left" w:pos="2268"/>
              </w:tabs>
              <w:spacing w:before="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Strojovna výtahu</w:t>
            </w:r>
            <w:r w:rsidRPr="00654046">
              <w:rPr>
                <w:rFonts w:ascii="Arial" w:hAnsi="Arial" w:cs="Arial"/>
                <w:b/>
                <w:sz w:val="32"/>
                <w:szCs w:val="32"/>
              </w:rPr>
              <w:t>:</w:t>
            </w:r>
          </w:p>
        </w:tc>
      </w:tr>
      <w:tr w:rsidR="000A7341" w:rsidTr="00A823D8">
        <w:trPr>
          <w:trHeight w:val="567"/>
        </w:trPr>
        <w:tc>
          <w:tcPr>
            <w:tcW w:w="9212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85442" w:rsidRDefault="00185442" w:rsidP="00185442">
            <w:pPr>
              <w:pStyle w:val="Default"/>
              <w:ind w:firstLine="360"/>
              <w:rPr>
                <w:rFonts w:ascii="Arial" w:hAnsi="Arial" w:cs="Arial"/>
              </w:rPr>
            </w:pPr>
          </w:p>
          <w:p w:rsidR="00185442" w:rsidRPr="00185442" w:rsidRDefault="00185442" w:rsidP="00185442">
            <w:pPr>
              <w:pStyle w:val="Default"/>
              <w:ind w:firstLine="360"/>
              <w:rPr>
                <w:rFonts w:ascii="Arial" w:hAnsi="Arial" w:cs="Arial"/>
              </w:rPr>
            </w:pPr>
            <w:r w:rsidRPr="00185442">
              <w:rPr>
                <w:rFonts w:ascii="Arial" w:hAnsi="Arial" w:cs="Arial"/>
              </w:rPr>
              <w:t xml:space="preserve">Strojovna výtahu splňuje v max. míře požadavky STN EN 81-20. </w:t>
            </w:r>
          </w:p>
          <w:p w:rsidR="00185442" w:rsidRPr="00185442" w:rsidRDefault="00185442" w:rsidP="00185442">
            <w:pPr>
              <w:pStyle w:val="Default"/>
              <w:ind w:firstLine="360"/>
              <w:rPr>
                <w:rFonts w:ascii="Arial" w:hAnsi="Arial" w:cs="Arial"/>
              </w:rPr>
            </w:pPr>
            <w:r w:rsidRPr="00185442">
              <w:rPr>
                <w:rFonts w:ascii="Arial" w:hAnsi="Arial" w:cs="Arial"/>
              </w:rPr>
              <w:t xml:space="preserve">Strojovna je umístěna </w:t>
            </w:r>
            <w:r w:rsidR="008112BF">
              <w:rPr>
                <w:rFonts w:ascii="Arial" w:hAnsi="Arial" w:cs="Arial"/>
              </w:rPr>
              <w:t>v</w:t>
            </w:r>
            <w:r w:rsidR="002A6B18">
              <w:rPr>
                <w:rFonts w:ascii="Arial" w:hAnsi="Arial" w:cs="Arial"/>
              </w:rPr>
              <w:t> </w:t>
            </w:r>
            <w:r w:rsidR="008112BF">
              <w:rPr>
                <w:rFonts w:ascii="Arial" w:hAnsi="Arial" w:cs="Arial"/>
              </w:rPr>
              <w:t>prohlubni</w:t>
            </w:r>
            <w:r w:rsidR="002A6B18">
              <w:rPr>
                <w:rFonts w:ascii="Arial" w:hAnsi="Arial" w:cs="Arial"/>
              </w:rPr>
              <w:t xml:space="preserve"> výtahu</w:t>
            </w:r>
            <w:r w:rsidRPr="00185442">
              <w:rPr>
                <w:rFonts w:ascii="Arial" w:hAnsi="Arial" w:cs="Arial"/>
              </w:rPr>
              <w:t xml:space="preserve">, je uzamykatelná, suchá, </w:t>
            </w:r>
            <w:r w:rsidRPr="00185442">
              <w:rPr>
                <w:rFonts w:ascii="Arial" w:hAnsi="Arial" w:cs="Arial"/>
                <w:color w:val="auto"/>
              </w:rPr>
              <w:t>větraná</w:t>
            </w:r>
            <w:r w:rsidRPr="00185442">
              <w:rPr>
                <w:rFonts w:ascii="Arial" w:hAnsi="Arial" w:cs="Arial"/>
                <w:color w:val="FF0000"/>
              </w:rPr>
              <w:t xml:space="preserve"> </w:t>
            </w:r>
            <w:r w:rsidRPr="00185442">
              <w:rPr>
                <w:rFonts w:ascii="Arial" w:hAnsi="Arial" w:cs="Arial"/>
              </w:rPr>
              <w:t xml:space="preserve">a osvětlená. Prostředí strojovny normální, teplota vzduchu + 5 až + 40°C. </w:t>
            </w:r>
          </w:p>
          <w:p w:rsidR="00185442" w:rsidRPr="00185442" w:rsidRDefault="00185442" w:rsidP="00144F87">
            <w:pPr>
              <w:pStyle w:val="Default"/>
              <w:ind w:firstLine="709"/>
              <w:rPr>
                <w:rFonts w:ascii="Arial" w:hAnsi="Arial" w:cs="Arial"/>
              </w:rPr>
            </w:pPr>
            <w:r w:rsidRPr="00185442">
              <w:rPr>
                <w:rFonts w:ascii="Arial" w:hAnsi="Arial" w:cs="Arial"/>
              </w:rPr>
              <w:t xml:space="preserve">Přístupová cesta musí být bezpečná a dostatečně osvětlená. Intenzita osvětlení minimálně 50 </w:t>
            </w:r>
            <w:proofErr w:type="spellStart"/>
            <w:r w:rsidRPr="00185442">
              <w:rPr>
                <w:rFonts w:ascii="Arial" w:hAnsi="Arial" w:cs="Arial"/>
              </w:rPr>
              <w:t>lx</w:t>
            </w:r>
            <w:proofErr w:type="spellEnd"/>
            <w:r w:rsidRPr="00185442">
              <w:rPr>
                <w:rFonts w:ascii="Arial" w:hAnsi="Arial" w:cs="Arial"/>
              </w:rPr>
              <w:t>, měřeno na úrovni podlahy. Dveře do strojovny</w:t>
            </w:r>
            <w:r w:rsidR="002A6B18">
              <w:rPr>
                <w:rFonts w:ascii="Arial" w:hAnsi="Arial" w:cs="Arial"/>
              </w:rPr>
              <w:t xml:space="preserve"> (prohlubně) </w:t>
            </w:r>
            <w:r w:rsidRPr="00185442">
              <w:rPr>
                <w:rFonts w:ascii="Arial" w:hAnsi="Arial" w:cs="Arial"/>
              </w:rPr>
              <w:t xml:space="preserve">musí být otevírané ven a musí být opatřeny zámkem s vložkou FAB typ 2017 umožňující otevření zevnitř bez použití klíče, zvenčí pouze s klíčem. </w:t>
            </w:r>
            <w:r w:rsidR="002A6B18">
              <w:rPr>
                <w:rFonts w:ascii="Arial" w:hAnsi="Arial" w:cs="Arial"/>
              </w:rPr>
              <w:t>Dveře musí být elektricky jištěné, po otevření dveří musí dojít k vypnutí výtahu.</w:t>
            </w:r>
          </w:p>
          <w:p w:rsidR="00185442" w:rsidRPr="00185442" w:rsidRDefault="00185442" w:rsidP="00185442">
            <w:pPr>
              <w:rPr>
                <w:rFonts w:ascii="Arial" w:hAnsi="Arial" w:cs="Arial"/>
                <w:sz w:val="24"/>
                <w:szCs w:val="24"/>
              </w:rPr>
            </w:pPr>
            <w:r w:rsidRPr="00185442">
              <w:rPr>
                <w:rFonts w:ascii="Arial" w:hAnsi="Arial" w:cs="Arial"/>
                <w:sz w:val="24"/>
                <w:szCs w:val="24"/>
              </w:rPr>
              <w:t xml:space="preserve">Hlavní přívod je </w:t>
            </w:r>
            <w:r w:rsidR="00144F87">
              <w:rPr>
                <w:rFonts w:ascii="Arial" w:hAnsi="Arial" w:cs="Arial"/>
                <w:sz w:val="24"/>
                <w:szCs w:val="24"/>
              </w:rPr>
              <w:t>nový</w:t>
            </w:r>
            <w:r w:rsidRPr="00185442">
              <w:rPr>
                <w:rFonts w:ascii="Arial" w:hAnsi="Arial" w:cs="Arial"/>
                <w:sz w:val="24"/>
                <w:szCs w:val="24"/>
              </w:rPr>
              <w:t>, na přívodu musí být provedena výchozí revize doložená revizní zprávou.</w:t>
            </w:r>
          </w:p>
          <w:p w:rsidR="00185442" w:rsidRPr="00185442" w:rsidRDefault="00185442" w:rsidP="00185442">
            <w:pPr>
              <w:pStyle w:val="Default"/>
              <w:rPr>
                <w:rFonts w:ascii="Arial" w:hAnsi="Arial" w:cs="Arial"/>
              </w:rPr>
            </w:pPr>
            <w:r w:rsidRPr="00185442">
              <w:rPr>
                <w:rFonts w:ascii="Arial" w:hAnsi="Arial" w:cs="Arial"/>
              </w:rPr>
              <w:t xml:space="preserve">Dimenze přívodního vedení musí zohledňovat nadřazené jištění na začátku přívodu, které musí být selektivní k jištění v rozvaděči výtahu. Přívod musí vyhovovat i s ohledem na úbytek napětí při rozběhu pohonu. </w:t>
            </w:r>
          </w:p>
          <w:p w:rsidR="00185442" w:rsidRDefault="00185442" w:rsidP="00185442">
            <w:pPr>
              <w:pStyle w:val="Default"/>
              <w:rPr>
                <w:rFonts w:ascii="Arial" w:hAnsi="Arial" w:cs="Arial"/>
                <w:b/>
              </w:rPr>
            </w:pPr>
            <w:r w:rsidRPr="00185442">
              <w:rPr>
                <w:rFonts w:ascii="Arial" w:hAnsi="Arial" w:cs="Arial"/>
                <w:b/>
              </w:rPr>
              <w:t xml:space="preserve">Elektrické hodnoty pohonu výtahu: </w:t>
            </w:r>
          </w:p>
          <w:p w:rsidR="00144F87" w:rsidRPr="00185442" w:rsidRDefault="00144F87" w:rsidP="00185442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Pr="00144F87">
              <w:rPr>
                <w:rFonts w:ascii="Arial" w:hAnsi="Arial" w:cs="Arial"/>
              </w:rPr>
              <w:t>jmenovitý výkon……………</w:t>
            </w:r>
            <w:proofErr w:type="gramStart"/>
            <w:r w:rsidRPr="00144F8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...</w:t>
            </w:r>
            <w:r w:rsidRPr="00144F87">
              <w:rPr>
                <w:rFonts w:ascii="Arial" w:hAnsi="Arial" w:cs="Arial"/>
              </w:rPr>
              <w:t>7,7</w:t>
            </w:r>
            <w:proofErr w:type="gramEnd"/>
            <w:r w:rsidRPr="00144F87">
              <w:rPr>
                <w:rFonts w:ascii="Arial" w:hAnsi="Arial" w:cs="Arial"/>
              </w:rPr>
              <w:t xml:space="preserve"> kW</w:t>
            </w:r>
          </w:p>
          <w:p w:rsidR="00144F87" w:rsidRDefault="00185442" w:rsidP="009A2B47">
            <w:pPr>
              <w:pStyle w:val="Default"/>
              <w:rPr>
                <w:rFonts w:ascii="Arial" w:hAnsi="Arial" w:cs="Arial"/>
              </w:rPr>
            </w:pPr>
            <w:r w:rsidRPr="00185442">
              <w:rPr>
                <w:rFonts w:ascii="Arial" w:hAnsi="Arial" w:cs="Arial"/>
              </w:rPr>
              <w:t>- jmenovitý proud motoru</w:t>
            </w:r>
            <w:r w:rsidR="00144F87">
              <w:rPr>
                <w:rFonts w:ascii="Arial" w:hAnsi="Arial" w:cs="Arial"/>
              </w:rPr>
              <w:t>………. 17,5 A</w:t>
            </w:r>
          </w:p>
          <w:p w:rsidR="00B4072C" w:rsidRDefault="00B4072C" w:rsidP="00185442">
            <w:pPr>
              <w:pStyle w:val="Default"/>
              <w:spacing w:after="12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startovací proud………………   54 A</w:t>
            </w:r>
          </w:p>
          <w:p w:rsidR="00185442" w:rsidRPr="00185442" w:rsidRDefault="00185442" w:rsidP="00185442">
            <w:pPr>
              <w:pStyle w:val="Default"/>
              <w:rPr>
                <w:rFonts w:ascii="Arial" w:hAnsi="Arial" w:cs="Arial"/>
                <w:color w:val="FF0000"/>
              </w:rPr>
            </w:pPr>
            <w:r w:rsidRPr="00185442">
              <w:rPr>
                <w:rFonts w:ascii="Arial" w:hAnsi="Arial" w:cs="Arial"/>
              </w:rPr>
              <w:t xml:space="preserve">Osvětlení strojovny </w:t>
            </w:r>
            <w:r w:rsidR="002A6B18">
              <w:rPr>
                <w:rFonts w:ascii="Arial" w:hAnsi="Arial" w:cs="Arial"/>
              </w:rPr>
              <w:t xml:space="preserve">(prohlubně) </w:t>
            </w:r>
            <w:r w:rsidRPr="00185442">
              <w:rPr>
                <w:rFonts w:ascii="Arial" w:hAnsi="Arial" w:cs="Arial"/>
              </w:rPr>
              <w:t xml:space="preserve">je trvale instalováno. </w:t>
            </w:r>
            <w:r w:rsidR="002A6B18">
              <w:rPr>
                <w:rFonts w:ascii="Arial" w:hAnsi="Arial" w:cs="Arial"/>
              </w:rPr>
              <w:t xml:space="preserve">Osvětlení je realizováno pomocí LED páskem, umístěným na boku výtahové šachty po celé výšce. </w:t>
            </w:r>
            <w:r w:rsidRPr="00185442">
              <w:rPr>
                <w:rFonts w:ascii="Arial" w:hAnsi="Arial" w:cs="Arial"/>
              </w:rPr>
              <w:t xml:space="preserve">Intenzita osvětlení strojovny musí činit min. 200 </w:t>
            </w:r>
            <w:proofErr w:type="spellStart"/>
            <w:r w:rsidRPr="00185442">
              <w:rPr>
                <w:rFonts w:ascii="Arial" w:hAnsi="Arial" w:cs="Arial"/>
              </w:rPr>
              <w:t>lx</w:t>
            </w:r>
            <w:proofErr w:type="spellEnd"/>
            <w:r w:rsidRPr="00185442">
              <w:rPr>
                <w:rFonts w:ascii="Arial" w:hAnsi="Arial" w:cs="Arial"/>
              </w:rPr>
              <w:t>, měřen</w:t>
            </w:r>
            <w:r w:rsidR="002A6B18">
              <w:rPr>
                <w:rFonts w:ascii="Arial" w:hAnsi="Arial" w:cs="Arial"/>
              </w:rPr>
              <w:t xml:space="preserve">o u podlahy. Vypínač osvětlení </w:t>
            </w:r>
            <w:r w:rsidRPr="00185442">
              <w:rPr>
                <w:rFonts w:ascii="Arial" w:hAnsi="Arial" w:cs="Arial"/>
              </w:rPr>
              <w:t xml:space="preserve">je umístěn u vstupu do </w:t>
            </w:r>
            <w:r w:rsidR="002A6B18">
              <w:rPr>
                <w:rFonts w:ascii="Arial" w:hAnsi="Arial" w:cs="Arial"/>
              </w:rPr>
              <w:t>prohlubně</w:t>
            </w:r>
          </w:p>
          <w:p w:rsidR="00185442" w:rsidRPr="00185442" w:rsidRDefault="00185442" w:rsidP="00185442">
            <w:pPr>
              <w:pStyle w:val="Default"/>
              <w:rPr>
                <w:rFonts w:ascii="Arial" w:hAnsi="Arial" w:cs="Arial"/>
              </w:rPr>
            </w:pPr>
            <w:r w:rsidRPr="00185442">
              <w:rPr>
                <w:rFonts w:ascii="Arial" w:hAnsi="Arial" w:cs="Arial"/>
              </w:rPr>
              <w:t xml:space="preserve">Ve strojovně, případně u vstupu do strojovny, musí být na dobře viditelném místě vhodně upevněn ruční hasicí přístroj CO2 s hasicí schopností 55B. </w:t>
            </w:r>
          </w:p>
          <w:p w:rsidR="00B4072C" w:rsidRPr="00930746" w:rsidRDefault="00B4072C" w:rsidP="00B4072C">
            <w:pPr>
              <w:pStyle w:val="Liftcomp"/>
              <w:spacing w:before="120" w:after="120"/>
              <w:jc w:val="both"/>
            </w:pPr>
            <w:r w:rsidRPr="00930746">
              <w:t>Výtah je poháněn</w:t>
            </w:r>
            <w:r>
              <w:t xml:space="preserve"> hydraulickým agregátem Start </w:t>
            </w:r>
            <w:proofErr w:type="spellStart"/>
            <w:r>
              <w:t>Elevator</w:t>
            </w:r>
            <w:proofErr w:type="spellEnd"/>
            <w:r>
              <w:t xml:space="preserve"> a hydraulickým pístem </w:t>
            </w:r>
            <w:r>
              <w:rPr>
                <w:rFonts w:cs="Arial"/>
              </w:rPr>
              <w:t>Ø</w:t>
            </w:r>
            <w:r>
              <w:t>100</w:t>
            </w:r>
            <w:r>
              <w:rPr>
                <w:rFonts w:cs="Arial"/>
              </w:rPr>
              <w:t>×</w:t>
            </w:r>
            <w:r>
              <w:t>5 mm.</w:t>
            </w:r>
          </w:p>
          <w:p w:rsidR="000A7341" w:rsidRPr="00654046" w:rsidRDefault="00185442" w:rsidP="00185442">
            <w:pPr>
              <w:ind w:firstLine="360"/>
              <w:rPr>
                <w:rFonts w:ascii="Arial" w:hAnsi="Arial" w:cs="Arial"/>
                <w:sz w:val="28"/>
                <w:szCs w:val="28"/>
              </w:rPr>
            </w:pPr>
            <w:r w:rsidRPr="00185442">
              <w:rPr>
                <w:rFonts w:ascii="Arial" w:hAnsi="Arial" w:cs="Arial"/>
                <w:b/>
                <w:bCs/>
                <w:sz w:val="24"/>
                <w:szCs w:val="24"/>
              </w:rPr>
              <w:t>Strojovna je větraná a nesmí v ní být umístěno žádné zařízení, které nesouvisí s provozem výtahu.</w:t>
            </w:r>
          </w:p>
        </w:tc>
      </w:tr>
    </w:tbl>
    <w:p w:rsidR="000A7341" w:rsidRDefault="000A7341">
      <w:pPr>
        <w:rPr>
          <w:rFonts w:ascii="Arial" w:hAnsi="Arial" w:cs="Arial"/>
          <w:sz w:val="28"/>
          <w:szCs w:val="28"/>
        </w:rPr>
      </w:pPr>
    </w:p>
    <w:tbl>
      <w:tblPr>
        <w:tblStyle w:val="Mriekatabuky"/>
        <w:tblW w:w="0" w:type="auto"/>
        <w:tblLook w:val="04A0"/>
      </w:tblPr>
      <w:tblGrid>
        <w:gridCol w:w="9212"/>
      </w:tblGrid>
      <w:tr w:rsidR="004E01B6" w:rsidRPr="00654046" w:rsidTr="00A823D8">
        <w:trPr>
          <w:trHeight w:val="567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01B6" w:rsidRPr="00654046" w:rsidRDefault="004E01B6" w:rsidP="00A823D8">
            <w:pPr>
              <w:pStyle w:val="Zkladntext21"/>
              <w:widowControl/>
              <w:numPr>
                <w:ilvl w:val="0"/>
                <w:numId w:val="3"/>
              </w:numPr>
              <w:tabs>
                <w:tab w:val="left" w:pos="2268"/>
              </w:tabs>
              <w:spacing w:before="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Výtahová šachta</w:t>
            </w:r>
            <w:r w:rsidRPr="00654046">
              <w:rPr>
                <w:rFonts w:ascii="Arial" w:hAnsi="Arial" w:cs="Arial"/>
                <w:b/>
                <w:sz w:val="32"/>
                <w:szCs w:val="32"/>
              </w:rPr>
              <w:t>:</w:t>
            </w:r>
          </w:p>
        </w:tc>
      </w:tr>
      <w:tr w:rsidR="004E01B6" w:rsidRPr="00654046" w:rsidTr="0072037C">
        <w:trPr>
          <w:trHeight w:val="567"/>
        </w:trPr>
        <w:tc>
          <w:tcPr>
            <w:tcW w:w="9212" w:type="dxa"/>
            <w:shd w:val="clear" w:color="auto" w:fill="FFFFFF" w:themeFill="background1"/>
            <w:vAlign w:val="center"/>
          </w:tcPr>
          <w:p w:rsidR="004E01B6" w:rsidRDefault="004E01B6" w:rsidP="00A823D8">
            <w:pPr>
              <w:pStyle w:val="Default"/>
              <w:ind w:firstLine="360"/>
              <w:rPr>
                <w:rFonts w:ascii="Arial" w:hAnsi="Arial" w:cs="Arial"/>
              </w:rPr>
            </w:pPr>
          </w:p>
          <w:p w:rsidR="004E01B6" w:rsidRPr="004E01B6" w:rsidRDefault="004E01B6" w:rsidP="004E01B6">
            <w:pPr>
              <w:pStyle w:val="Default"/>
              <w:ind w:firstLine="360"/>
              <w:rPr>
                <w:rFonts w:ascii="Arial" w:hAnsi="Arial" w:cs="Arial"/>
              </w:rPr>
            </w:pPr>
            <w:r w:rsidRPr="004E01B6">
              <w:rPr>
                <w:rFonts w:ascii="Arial" w:hAnsi="Arial" w:cs="Arial"/>
              </w:rPr>
              <w:t xml:space="preserve">Výtahovou šachtu tvoří vlastní pracovní prostor výtahu spolu s nutnými bezpečnostními prostory. </w:t>
            </w:r>
          </w:p>
          <w:p w:rsidR="004E01B6" w:rsidRDefault="004E01B6" w:rsidP="004E01B6">
            <w:pPr>
              <w:pStyle w:val="Default"/>
              <w:ind w:firstLine="360"/>
              <w:rPr>
                <w:rFonts w:ascii="Arial" w:hAnsi="Arial" w:cs="Arial"/>
              </w:rPr>
            </w:pPr>
            <w:r w:rsidRPr="004E01B6">
              <w:rPr>
                <w:rFonts w:ascii="Arial" w:hAnsi="Arial" w:cs="Arial"/>
              </w:rPr>
              <w:t>Výtaho</w:t>
            </w:r>
            <w:r w:rsidR="00B4072C">
              <w:rPr>
                <w:rFonts w:ascii="Arial" w:hAnsi="Arial" w:cs="Arial"/>
              </w:rPr>
              <w:t xml:space="preserve">vá šachta je </w:t>
            </w:r>
            <w:r w:rsidR="002A6B18">
              <w:rPr>
                <w:rFonts w:ascii="Arial" w:hAnsi="Arial" w:cs="Arial"/>
              </w:rPr>
              <w:t>tvořená ocelovými jäkly, velikosti 100x50x4 a 60x40x4</w:t>
            </w:r>
            <w:r w:rsidRPr="004E01B6">
              <w:rPr>
                <w:rFonts w:ascii="Arial" w:hAnsi="Arial" w:cs="Arial"/>
              </w:rPr>
              <w:t>.</w:t>
            </w:r>
            <w:r w:rsidR="002A6B18">
              <w:rPr>
                <w:rFonts w:ascii="Arial" w:hAnsi="Arial" w:cs="Arial"/>
              </w:rPr>
              <w:t xml:space="preserve"> Příčky kotvení výtahu jsou v roztečích max. 1250 mm. Ocelová konstrukce bude opláštěná deskami pro výtahové šachty. Pevnost šachty bude splňovat 81-20 </w:t>
            </w:r>
            <w:proofErr w:type="spellStart"/>
            <w:r w:rsidR="002A6B18">
              <w:rPr>
                <w:rFonts w:ascii="Arial" w:hAnsi="Arial" w:cs="Arial"/>
              </w:rPr>
              <w:t>ed</w:t>
            </w:r>
            <w:proofErr w:type="spellEnd"/>
            <w:r w:rsidR="002A6B18">
              <w:rPr>
                <w:rFonts w:ascii="Arial" w:hAnsi="Arial" w:cs="Arial"/>
              </w:rPr>
              <w:t xml:space="preserve">. 2. Ocelová konstrukce – šachta je dodávka stavby. </w:t>
            </w:r>
            <w:r w:rsidR="00D84DE9">
              <w:rPr>
                <w:rFonts w:ascii="Arial" w:hAnsi="Arial" w:cs="Arial"/>
              </w:rPr>
              <w:t>V 1 NP jako přístup k výtahové šachtě slouží nástupní ostrůvek, opatřený zábradlím výšky 1100 mm po obou stranách.</w:t>
            </w:r>
          </w:p>
          <w:p w:rsidR="002A6B18" w:rsidRPr="004E01B6" w:rsidRDefault="002A6B18" w:rsidP="002A6B18">
            <w:pPr>
              <w:pStyle w:val="Default"/>
              <w:ind w:firstLine="360"/>
              <w:rPr>
                <w:rFonts w:ascii="Arial" w:hAnsi="Arial" w:cs="Arial"/>
              </w:rPr>
            </w:pPr>
          </w:p>
          <w:p w:rsidR="00132D4F" w:rsidRPr="00132D4F" w:rsidRDefault="002A6B18" w:rsidP="002A6B18">
            <w:pPr>
              <w:pStyle w:val="Default"/>
              <w:ind w:firstLine="360"/>
              <w:rPr>
                <w:rFonts w:ascii="Arial" w:hAnsi="Arial" w:cs="Arial"/>
              </w:rPr>
            </w:pPr>
            <w:r w:rsidRPr="004E01B6">
              <w:rPr>
                <w:rFonts w:ascii="Arial" w:hAnsi="Arial" w:cs="Arial"/>
                <w:b/>
                <w:bCs/>
              </w:rPr>
              <w:t xml:space="preserve">Spodní část šachty </w:t>
            </w:r>
            <w:r w:rsidRPr="004E01B6">
              <w:rPr>
                <w:rFonts w:ascii="Arial" w:hAnsi="Arial" w:cs="Arial"/>
              </w:rPr>
              <w:t xml:space="preserve">- prohlubeň - má hloubku minimálně </w:t>
            </w:r>
            <w:r>
              <w:rPr>
                <w:rFonts w:ascii="Arial" w:hAnsi="Arial" w:cs="Arial"/>
              </w:rPr>
              <w:t>285</w:t>
            </w:r>
            <w:r w:rsidR="00B4072C">
              <w:rPr>
                <w:rFonts w:ascii="Arial" w:hAnsi="Arial" w:cs="Arial"/>
              </w:rPr>
              <w:t>0</w:t>
            </w:r>
            <w:r w:rsidR="004E01B6" w:rsidRPr="004E01B6">
              <w:rPr>
                <w:rFonts w:ascii="Arial" w:hAnsi="Arial" w:cs="Arial"/>
              </w:rPr>
              <w:t xml:space="preserve"> mm od prahu spodní stanice</w:t>
            </w:r>
            <w:r w:rsidR="00D84DE9">
              <w:rPr>
                <w:rFonts w:ascii="Arial" w:hAnsi="Arial" w:cs="Arial"/>
              </w:rPr>
              <w:t xml:space="preserve"> (celé jedno podlaží – 1 PP)</w:t>
            </w:r>
            <w:r w:rsidR="004E01B6" w:rsidRPr="004E01B6">
              <w:rPr>
                <w:rFonts w:ascii="Arial" w:hAnsi="Arial" w:cs="Arial"/>
              </w:rPr>
              <w:t xml:space="preserve">. Dráha klece bude omezena nárazníky umístěnými na ocelových podpěrách. </w:t>
            </w:r>
            <w:r w:rsidR="00132D4F" w:rsidRPr="00132D4F">
              <w:rPr>
                <w:rFonts w:ascii="Arial" w:hAnsi="Arial" w:cs="Arial"/>
              </w:rPr>
              <w:t xml:space="preserve">Tato hloubka zaručuje, že při dosednutí výtahové klece na plně stlačené nárazníky budou splněny požadavky na bezpečné vzdálenosti dle čl. 5.2.5.8 STN EN 81-20 a únikového prostoru dle tab. 4. </w:t>
            </w:r>
          </w:p>
          <w:p w:rsidR="004E01B6" w:rsidRDefault="004E01B6" w:rsidP="004E01B6">
            <w:pPr>
              <w:pStyle w:val="Default"/>
              <w:ind w:firstLine="360"/>
              <w:rPr>
                <w:rFonts w:ascii="Arial" w:hAnsi="Arial" w:cs="Arial"/>
              </w:rPr>
            </w:pPr>
          </w:p>
          <w:p w:rsidR="00B4072C" w:rsidRPr="001674E0" w:rsidRDefault="004E01B6" w:rsidP="00B4072C">
            <w:pPr>
              <w:pStyle w:val="Liftcomp"/>
              <w:spacing w:before="120" w:after="120"/>
              <w:ind w:firstLine="709"/>
              <w:jc w:val="both"/>
            </w:pPr>
            <w:r w:rsidRPr="004E01B6">
              <w:rPr>
                <w:rFonts w:cs="Arial"/>
              </w:rPr>
              <w:t xml:space="preserve">Pro přístup do prohlubně bude </w:t>
            </w:r>
            <w:r w:rsidR="00AE6DAE">
              <w:rPr>
                <w:rFonts w:cs="Arial"/>
              </w:rPr>
              <w:t>dveřmi</w:t>
            </w:r>
            <w:r w:rsidR="00824CEC">
              <w:rPr>
                <w:rFonts w:cs="Arial"/>
              </w:rPr>
              <w:t xml:space="preserve"> s bezpečnostním spínačem (nuceně rozepínatelným kontaktem)</w:t>
            </w:r>
            <w:r w:rsidRPr="004E01B6">
              <w:rPr>
                <w:rFonts w:cs="Arial"/>
              </w:rPr>
              <w:t xml:space="preserve">. V prohlubni bude instalována zásuvka 230 V pro připojení ručního el. </w:t>
            </w:r>
            <w:proofErr w:type="gramStart"/>
            <w:r w:rsidRPr="004E01B6">
              <w:rPr>
                <w:rFonts w:cs="Arial"/>
              </w:rPr>
              <w:t>nářadí</w:t>
            </w:r>
            <w:proofErr w:type="gramEnd"/>
            <w:r w:rsidRPr="004E01B6">
              <w:rPr>
                <w:rFonts w:cs="Arial"/>
              </w:rPr>
              <w:t xml:space="preserve">, ovladač STOP pro vyřazení výtahu z provozu, revizní jízda a hlasový komunikátor s trvalou obsluhou. Prohlubeň výtahové šachty je izolována proti vniknutí spodní vody. </w:t>
            </w:r>
            <w:r w:rsidR="00B4072C">
              <w:t xml:space="preserve">Dno a přilehlé stěny do výše 100 mm jsou natřeny </w:t>
            </w:r>
            <w:proofErr w:type="spellStart"/>
            <w:r w:rsidR="00B4072C">
              <w:t>protiolejovým</w:t>
            </w:r>
            <w:proofErr w:type="spellEnd"/>
            <w:r w:rsidR="00B4072C">
              <w:t xml:space="preserve"> nátěrem (dodávka stavby).</w:t>
            </w:r>
          </w:p>
          <w:p w:rsidR="006E6C19" w:rsidRPr="004E01B6" w:rsidRDefault="006E6C19" w:rsidP="004E01B6">
            <w:pPr>
              <w:pStyle w:val="Default"/>
              <w:ind w:firstLine="709"/>
              <w:rPr>
                <w:rFonts w:ascii="Arial" w:hAnsi="Arial" w:cs="Arial"/>
              </w:rPr>
            </w:pPr>
          </w:p>
          <w:p w:rsidR="00B4072C" w:rsidRDefault="004E01B6" w:rsidP="00132D4F">
            <w:pPr>
              <w:pStyle w:val="Default"/>
              <w:ind w:firstLine="709"/>
              <w:rPr>
                <w:rFonts w:ascii="Arial" w:hAnsi="Arial" w:cs="Arial"/>
                <w:b/>
                <w:bCs/>
              </w:rPr>
            </w:pPr>
            <w:r w:rsidRPr="004E01B6">
              <w:rPr>
                <w:rFonts w:ascii="Arial" w:hAnsi="Arial" w:cs="Arial"/>
                <w:b/>
                <w:bCs/>
              </w:rPr>
              <w:t xml:space="preserve">Horní část šachty </w:t>
            </w:r>
            <w:r w:rsidRPr="004E01B6">
              <w:rPr>
                <w:rFonts w:ascii="Arial" w:hAnsi="Arial" w:cs="Arial"/>
              </w:rPr>
              <w:t xml:space="preserve">- od prahu nejvyšší stanice po strop šachty - má min. výšku </w:t>
            </w:r>
            <w:r w:rsidR="00AE6DAE">
              <w:rPr>
                <w:rFonts w:ascii="Arial" w:hAnsi="Arial" w:cs="Arial"/>
              </w:rPr>
              <w:t>295</w:t>
            </w:r>
            <w:r w:rsidR="002C322C">
              <w:rPr>
                <w:rFonts w:ascii="Arial" w:hAnsi="Arial" w:cs="Arial"/>
              </w:rPr>
              <w:t>0</w:t>
            </w:r>
            <w:r w:rsidRPr="004E01B6">
              <w:rPr>
                <w:rFonts w:ascii="Arial" w:hAnsi="Arial" w:cs="Arial"/>
              </w:rPr>
              <w:t xml:space="preserve"> mm</w:t>
            </w:r>
            <w:r w:rsidRPr="00132D4F">
              <w:rPr>
                <w:rFonts w:ascii="Arial" w:hAnsi="Arial" w:cs="Arial"/>
              </w:rPr>
              <w:t xml:space="preserve">. </w:t>
            </w:r>
            <w:r w:rsidR="00132D4F" w:rsidRPr="00132D4F">
              <w:rPr>
                <w:rFonts w:ascii="Arial" w:hAnsi="Arial" w:cs="Arial"/>
              </w:rPr>
              <w:t xml:space="preserve">Při dráze klece nahoru z horní krajní stanice, než se uvede v činnost nárazník pod vyvažovacím, </w:t>
            </w:r>
            <w:r w:rsidR="00132D4F" w:rsidRPr="00132D4F">
              <w:rPr>
                <w:rFonts w:ascii="Arial" w:hAnsi="Arial" w:cs="Arial"/>
                <w:b/>
                <w:bCs/>
              </w:rPr>
              <w:t xml:space="preserve">není splněn požadavek na horní bezpečnostní prostory dle čl. 5.2.5.7 STN EN 81-20. </w:t>
            </w:r>
          </w:p>
          <w:p w:rsidR="00B4072C" w:rsidRDefault="00B4072C" w:rsidP="00132D4F">
            <w:pPr>
              <w:pStyle w:val="Default"/>
              <w:ind w:firstLine="709"/>
              <w:rPr>
                <w:rFonts w:ascii="Arial" w:hAnsi="Arial" w:cs="Arial"/>
              </w:rPr>
            </w:pPr>
            <w:r w:rsidRPr="00B4072C">
              <w:rPr>
                <w:rFonts w:ascii="Arial" w:hAnsi="Arial" w:cs="Arial"/>
              </w:rPr>
              <w:t>Na stropě klece je použito sklopné zábradlí se spínačem výšky 700 mm na zadní a boční straně kabiny. Pod stropem šachty je montážní nos</w:t>
            </w:r>
            <w:r w:rsidR="00AE6DAE">
              <w:rPr>
                <w:rFonts w:ascii="Arial" w:hAnsi="Arial" w:cs="Arial"/>
              </w:rPr>
              <w:t>ník I120 s nosností min. 300 kg (dodávka stavby)</w:t>
            </w:r>
          </w:p>
          <w:p w:rsidR="00B4072C" w:rsidRDefault="00B4072C" w:rsidP="00B4072C">
            <w:pPr>
              <w:pStyle w:val="Liftcomp"/>
              <w:numPr>
                <w:ilvl w:val="0"/>
                <w:numId w:val="8"/>
              </w:numPr>
              <w:spacing w:before="120" w:after="120"/>
              <w:jc w:val="both"/>
            </w:pPr>
            <w:r w:rsidRPr="0004628D">
              <w:t xml:space="preserve">Popis činnosti </w:t>
            </w:r>
            <w:r>
              <w:t>z</w:t>
            </w:r>
            <w:r w:rsidRPr="006C485D">
              <w:t>a</w:t>
            </w:r>
            <w:r>
              <w:t xml:space="preserve">řízení </w:t>
            </w:r>
            <w:r w:rsidRPr="006C485D">
              <w:t>zajišťující</w:t>
            </w:r>
            <w:r>
              <w:t>ho</w:t>
            </w:r>
            <w:r w:rsidRPr="006C485D">
              <w:t xml:space="preserve"> bezpečno</w:t>
            </w:r>
            <w:r>
              <w:t>stn</w:t>
            </w:r>
            <w:r w:rsidRPr="006C485D">
              <w:t>í prostory</w:t>
            </w:r>
            <w:r w:rsidRPr="0004628D">
              <w:t>:</w:t>
            </w:r>
          </w:p>
          <w:p w:rsidR="00B4072C" w:rsidRDefault="00B4072C" w:rsidP="00B4072C">
            <w:pPr>
              <w:pStyle w:val="Liftcomp"/>
              <w:spacing w:before="120" w:after="120"/>
              <w:ind w:left="1429"/>
              <w:jc w:val="both"/>
            </w:pPr>
            <w:r>
              <w:t>Předem nastavený zastavovací systém je tvořen s</w:t>
            </w:r>
            <w:r w:rsidRPr="00DC1482">
              <w:t>olenoidový</w:t>
            </w:r>
            <w:r>
              <w:t>m</w:t>
            </w:r>
            <w:r w:rsidRPr="00DC1482">
              <w:t xml:space="preserve"> ventil</w:t>
            </w:r>
            <w:r>
              <w:t>em</w:t>
            </w:r>
            <w:r w:rsidRPr="00DC1482">
              <w:t xml:space="preserve"> nouzového zastavení revizní jízdy</w:t>
            </w:r>
            <w:r>
              <w:t xml:space="preserve"> v hydraulickém agregátu a </w:t>
            </w:r>
            <w:r w:rsidRPr="002F1466">
              <w:t>koncový</w:t>
            </w:r>
            <w:r>
              <w:t>m</w:t>
            </w:r>
            <w:r w:rsidRPr="002F1466">
              <w:t xml:space="preserve"> vypínač</w:t>
            </w:r>
            <w:r>
              <w:t>em</w:t>
            </w:r>
            <w:r w:rsidRPr="002F1466">
              <w:t xml:space="preserve"> revizní jízdy </w:t>
            </w:r>
            <w:r>
              <w:t>(bezpečnostní</w:t>
            </w:r>
            <w:r w:rsidRPr="002F1466">
              <w:t xml:space="preserve"> spínač</w:t>
            </w:r>
            <w:r>
              <w:t>) dle čl. 5.5</w:t>
            </w:r>
            <w:r w:rsidRPr="002F1466">
              <w:t>.2</w:t>
            </w:r>
            <w:r>
              <w:t xml:space="preserve">.2 </w:t>
            </w:r>
            <w:r w:rsidR="00AE6DAE">
              <w:t>STN</w:t>
            </w:r>
            <w:r>
              <w:t> </w:t>
            </w:r>
            <w:r w:rsidRPr="002F1466">
              <w:t>EN</w:t>
            </w:r>
            <w:r>
              <w:t> </w:t>
            </w:r>
            <w:r w:rsidRPr="002F1466">
              <w:t>81</w:t>
            </w:r>
            <w:r>
              <w:noBreakHyphen/>
            </w:r>
            <w:r w:rsidRPr="002F1466">
              <w:t>21</w:t>
            </w:r>
            <w:r>
              <w:t xml:space="preserve">. </w:t>
            </w:r>
            <w:r w:rsidRPr="002F1466">
              <w:t xml:space="preserve">Při najetí klece na tento vypínač dojde k aktivaci funkce </w:t>
            </w:r>
            <w:r>
              <w:t>zpětného s</w:t>
            </w:r>
            <w:r w:rsidRPr="00DC1482">
              <w:t>olenoidov</w:t>
            </w:r>
            <w:r>
              <w:t>ého</w:t>
            </w:r>
            <w:r w:rsidRPr="00DC1482">
              <w:t xml:space="preserve"> ventil</w:t>
            </w:r>
            <w:r>
              <w:t>u</w:t>
            </w:r>
            <w:r w:rsidRPr="002F1466">
              <w:t xml:space="preserve"> a dojde k zastavení klece.</w:t>
            </w:r>
            <w:r>
              <w:t xml:space="preserve"> Tato poloha je zajištěna i při výpadku elektrického proudu. </w:t>
            </w:r>
            <w:r w:rsidRPr="002F1466">
              <w:t>Tento spínač umožní jízdu klece pouze ve směru dolů</w:t>
            </w:r>
            <w:r>
              <w:t>.</w:t>
            </w:r>
          </w:p>
          <w:p w:rsidR="00B4072C" w:rsidRDefault="00B4072C" w:rsidP="00B4072C">
            <w:pPr>
              <w:pStyle w:val="Liftcomp"/>
              <w:numPr>
                <w:ilvl w:val="0"/>
                <w:numId w:val="8"/>
              </w:numPr>
              <w:spacing w:before="120" w:after="120"/>
              <w:jc w:val="both"/>
            </w:pPr>
            <w:r w:rsidRPr="0004628D">
              <w:t xml:space="preserve">Popis činnosti </w:t>
            </w:r>
            <w:r>
              <w:t xml:space="preserve">bezpečnostního systému kontrolujícího provoz výtahu: </w:t>
            </w:r>
          </w:p>
          <w:p w:rsidR="00B4072C" w:rsidRDefault="00B4072C" w:rsidP="00B4072C">
            <w:pPr>
              <w:pStyle w:val="Liftcomp"/>
              <w:spacing w:before="120" w:after="120"/>
              <w:ind w:left="1418"/>
              <w:jc w:val="both"/>
            </w:pPr>
            <w:r>
              <w:t xml:space="preserve">Šachetní dveře jsou opatřeny spínačem nouzového odjištění dle </w:t>
            </w:r>
            <w:r w:rsidRPr="002F1466">
              <w:t xml:space="preserve">čl. </w:t>
            </w:r>
            <w:r w:rsidRPr="002F1466">
              <w:lastRenderedPageBreak/>
              <w:t>5.5.3.1 b)</w:t>
            </w:r>
            <w:r>
              <w:t xml:space="preserve"> ČSN EN 81</w:t>
            </w:r>
            <w:r>
              <w:noBreakHyphen/>
              <w:t xml:space="preserve">21+A1. Při použití klíče k nouzovému odjištění dojde k okamžitému vyřazení výtahu z normálního provozu a bude umožněná pouze revizní jízda. </w:t>
            </w:r>
            <w:r w:rsidRPr="002F1466">
              <w:t>Na panelu revizní j</w:t>
            </w:r>
            <w:r>
              <w:t>ízdy a/</w:t>
            </w:r>
            <w:r w:rsidRPr="002F1466">
              <w:t>nebo v šachtě bude světeln</w:t>
            </w:r>
            <w:r>
              <w:t>ě</w:t>
            </w:r>
            <w:r w:rsidRPr="002F1466">
              <w:t xml:space="preserve"> signaliz</w:t>
            </w:r>
            <w:r>
              <w:t xml:space="preserve">ováno </w:t>
            </w:r>
            <w:r w:rsidRPr="002F1466">
              <w:t xml:space="preserve">vyřazení výtahu z normálního provozu a aktivace revizní jízdy. Revizní jízda směrem nahoru bude omezena </w:t>
            </w:r>
            <w:r>
              <w:t>bezpečnostní</w:t>
            </w:r>
            <w:r w:rsidRPr="002F1466">
              <w:t xml:space="preserve">m spínačem. Tento spínač umožní jízdu klece pouze ve směru dolů (čl. 5.5.3.4 </w:t>
            </w:r>
            <w:r w:rsidR="00AE6DAE">
              <w:t>STN</w:t>
            </w:r>
            <w:r>
              <w:t> </w:t>
            </w:r>
            <w:r w:rsidRPr="002F1466">
              <w:t>EN</w:t>
            </w:r>
            <w:r>
              <w:t> </w:t>
            </w:r>
            <w:r w:rsidRPr="002F1466">
              <w:t>81</w:t>
            </w:r>
            <w:r>
              <w:noBreakHyphen/>
            </w:r>
            <w:r w:rsidRPr="002F1466">
              <w:t xml:space="preserve">21+A1). </w:t>
            </w:r>
            <w:r>
              <w:t xml:space="preserve">Výtah je možné uvést do provozu buď sepnutím klíčového spínače v </w:t>
            </w:r>
            <w:proofErr w:type="spellStart"/>
            <w:r>
              <w:t>rozváděči</w:t>
            </w:r>
            <w:proofErr w:type="spellEnd"/>
            <w:r>
              <w:t>, nebo klíčovým spínačem u dveří v určeném patře (elektronického resetovacího zařízení)</w:t>
            </w:r>
            <w:r w:rsidRPr="002F1466">
              <w:t>.</w:t>
            </w:r>
          </w:p>
          <w:p w:rsidR="00B4072C" w:rsidRDefault="00B4072C" w:rsidP="00B4072C">
            <w:pPr>
              <w:pStyle w:val="Liftcomp"/>
              <w:numPr>
                <w:ilvl w:val="0"/>
                <w:numId w:val="8"/>
              </w:numPr>
              <w:spacing w:before="120" w:after="120"/>
              <w:jc w:val="both"/>
            </w:pPr>
            <w:r>
              <w:t>Na střeše klece je umístěno sklopné zábradlí se spínačem dle čl. </w:t>
            </w:r>
            <w:r w:rsidRPr="002F1466">
              <w:t>5.</w:t>
            </w:r>
            <w:r>
              <w:t xml:space="preserve">6 </w:t>
            </w:r>
            <w:r w:rsidR="00AE6DAE">
              <w:t>STN</w:t>
            </w:r>
            <w:r>
              <w:t> </w:t>
            </w:r>
            <w:r w:rsidRPr="002F1466">
              <w:t>EN</w:t>
            </w:r>
            <w:r>
              <w:t> </w:t>
            </w:r>
            <w:r w:rsidRPr="002F1466">
              <w:t>81</w:t>
            </w:r>
            <w:r>
              <w:noBreakHyphen/>
            </w:r>
            <w:r w:rsidRPr="002F1466">
              <w:t>21+A1</w:t>
            </w:r>
            <w:r>
              <w:t>. Výška zábradlí v servisní poloze je 700 mm.</w:t>
            </w:r>
          </w:p>
          <w:p w:rsidR="00B4072C" w:rsidRPr="00F02EA9" w:rsidRDefault="00B4072C" w:rsidP="00B4072C">
            <w:pPr>
              <w:pStyle w:val="Liftcomp"/>
              <w:numPr>
                <w:ilvl w:val="0"/>
                <w:numId w:val="8"/>
              </w:numPr>
              <w:spacing w:before="120" w:after="120"/>
              <w:jc w:val="both"/>
            </w:pPr>
            <w:r>
              <w:t>Na střeše klece bude na viditelném místě umístěna bezpečnostní tabulka „</w:t>
            </w:r>
            <w:r w:rsidRPr="00676C08">
              <w:rPr>
                <w:caps/>
              </w:rPr>
              <w:t>Nebezpečí-zmenšené vzdálenosti v horní části šachty-repektujte návod</w:t>
            </w:r>
            <w:r>
              <w:rPr>
                <w:caps/>
              </w:rPr>
              <w:t>“</w:t>
            </w:r>
            <w:r>
              <w:t xml:space="preserve"> viz obrázek 1.</w:t>
            </w:r>
          </w:p>
          <w:p w:rsidR="00B4072C" w:rsidRDefault="00B4072C" w:rsidP="00B4072C">
            <w:pPr>
              <w:pStyle w:val="Liftcomp"/>
              <w:numPr>
                <w:ilvl w:val="0"/>
                <w:numId w:val="8"/>
              </w:numPr>
              <w:spacing w:before="120" w:after="120"/>
              <w:jc w:val="both"/>
              <w:rPr>
                <w:rFonts w:cs="Arial"/>
              </w:rPr>
            </w:pPr>
            <w:r w:rsidRPr="008517D9">
              <w:rPr>
                <w:rFonts w:cs="Arial"/>
              </w:rPr>
              <w:t xml:space="preserve">Každý </w:t>
            </w:r>
            <w:r>
              <w:t xml:space="preserve">servisní pracovník </w:t>
            </w:r>
            <w:r>
              <w:rPr>
                <w:rFonts w:cs="Arial"/>
              </w:rPr>
              <w:t>musí být prokazatelně</w:t>
            </w:r>
            <w:r w:rsidRPr="008517D9">
              <w:rPr>
                <w:rFonts w:cs="Arial"/>
              </w:rPr>
              <w:t xml:space="preserve"> seznámen s touto skutečností.</w:t>
            </w:r>
          </w:p>
          <w:p w:rsidR="00F35960" w:rsidRPr="008517D9" w:rsidRDefault="00F35960" w:rsidP="00AE6DAE">
            <w:pPr>
              <w:pStyle w:val="Liftcomp"/>
              <w:spacing w:before="120" w:after="120"/>
              <w:ind w:left="1429"/>
              <w:jc w:val="both"/>
              <w:rPr>
                <w:rFonts w:cs="Arial"/>
              </w:rPr>
            </w:pPr>
          </w:p>
          <w:p w:rsidR="00B4072C" w:rsidRDefault="00AB7244" w:rsidP="00AB7244">
            <w:pPr>
              <w:pStyle w:val="Liftcomp"/>
              <w:spacing w:before="120" w:after="120"/>
              <w:ind w:left="1418"/>
              <w:jc w:val="center"/>
            </w:pPr>
            <w:r>
              <w:rPr>
                <w:noProof/>
                <w:lang w:val="sk-SK" w:eastAsia="zh-CN"/>
              </w:rPr>
              <w:drawing>
                <wp:inline distT="0" distB="0" distL="0" distR="0">
                  <wp:extent cx="2010507" cy="1866900"/>
                  <wp:effectExtent l="19050" t="0" r="8793" b="0"/>
                  <wp:docPr id="7" name="Obrázek 6" descr="malá hlav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á hlava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842" cy="1866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072C" w:rsidRDefault="00B4072C" w:rsidP="00B4072C">
            <w:pPr>
              <w:pStyle w:val="Liftcomp"/>
              <w:spacing w:before="120" w:after="120"/>
              <w:ind w:left="1418"/>
              <w:jc w:val="center"/>
            </w:pPr>
            <w:r>
              <w:t>Obr. 1</w:t>
            </w:r>
          </w:p>
          <w:p w:rsidR="004E01B6" w:rsidRPr="004E01B6" w:rsidRDefault="004E01B6" w:rsidP="004E01B6">
            <w:pPr>
              <w:pStyle w:val="Default"/>
              <w:ind w:firstLine="709"/>
              <w:rPr>
                <w:rFonts w:ascii="Arial" w:hAnsi="Arial" w:cs="Arial"/>
              </w:rPr>
            </w:pPr>
            <w:r w:rsidRPr="004E01B6">
              <w:rPr>
                <w:rFonts w:ascii="Arial" w:hAnsi="Arial" w:cs="Arial"/>
              </w:rPr>
              <w:t xml:space="preserve">V šachtě bude instalováno stabilní osvětlení. Osvětlovací tělesa jsou umístěna ve vzdálenostech nutných pro dosažení požadované intenzity osvětlení dle čl. 5.2.1.4 STN EN 81- 20. Osvětlení bude ovládáno dvěma spínači, jeden je umístěn v šachtě ve výšce minimálně 1000 mm od prahu spodní stanice, druhý ve strojovně vedle hlavního vypínače </w:t>
            </w:r>
          </w:p>
          <w:p w:rsidR="004E01B6" w:rsidRDefault="004E01B6" w:rsidP="004E01B6">
            <w:pPr>
              <w:pStyle w:val="Default"/>
              <w:rPr>
                <w:rFonts w:ascii="Arial" w:hAnsi="Arial" w:cs="Arial"/>
              </w:rPr>
            </w:pPr>
            <w:r w:rsidRPr="004E01B6">
              <w:rPr>
                <w:rFonts w:ascii="Arial" w:hAnsi="Arial" w:cs="Arial"/>
              </w:rPr>
              <w:t xml:space="preserve">Stěna šachty na straně vstupů do klece musí splňovat požadavky čl. 5.2.5.3 STN EN 81-20. </w:t>
            </w:r>
          </w:p>
          <w:p w:rsidR="001D195F" w:rsidRPr="004E01B6" w:rsidRDefault="001D195F" w:rsidP="004E01B6">
            <w:pPr>
              <w:pStyle w:val="Default"/>
              <w:rPr>
                <w:rFonts w:ascii="Arial" w:hAnsi="Arial" w:cs="Arial"/>
              </w:rPr>
            </w:pPr>
          </w:p>
          <w:p w:rsidR="00C575A1" w:rsidRPr="004E01B6" w:rsidRDefault="004E01B6" w:rsidP="004E01B6">
            <w:pPr>
              <w:ind w:firstLine="709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01B6">
              <w:rPr>
                <w:rFonts w:ascii="Arial" w:hAnsi="Arial" w:cs="Arial"/>
                <w:b/>
                <w:bCs/>
                <w:sz w:val="24"/>
                <w:szCs w:val="24"/>
              </w:rPr>
              <w:t>Ve výtahové šachtě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E01B6">
              <w:rPr>
                <w:rFonts w:ascii="Arial" w:hAnsi="Arial" w:cs="Arial"/>
                <w:b/>
                <w:bCs/>
                <w:sz w:val="24"/>
                <w:szCs w:val="24"/>
              </w:rPr>
              <w:t>nesmí být umístěno žádné zařízení, které nesouvisí s provozem výtahu.</w:t>
            </w:r>
          </w:p>
          <w:p w:rsidR="004E01B6" w:rsidRPr="00654046" w:rsidRDefault="004E01B6" w:rsidP="004E01B6">
            <w:pPr>
              <w:ind w:firstLine="3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2037C" w:rsidRPr="00654046" w:rsidTr="0072037C">
        <w:trPr>
          <w:trHeight w:val="567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72037C" w:rsidRPr="0072037C" w:rsidRDefault="0072037C" w:rsidP="00A823D8">
            <w:pPr>
              <w:pStyle w:val="Default"/>
              <w:ind w:firstLine="360"/>
              <w:rPr>
                <w:rFonts w:ascii="Arial" w:hAnsi="Arial" w:cs="Arial"/>
                <w:b/>
                <w:sz w:val="28"/>
                <w:szCs w:val="28"/>
              </w:rPr>
            </w:pPr>
            <w:r w:rsidRPr="0072037C">
              <w:rPr>
                <w:rFonts w:ascii="Arial" w:hAnsi="Arial" w:cs="Arial"/>
                <w:b/>
                <w:sz w:val="28"/>
                <w:szCs w:val="28"/>
              </w:rPr>
              <w:lastRenderedPageBreak/>
              <w:t>4.1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Pr="0072037C">
              <w:rPr>
                <w:rFonts w:ascii="Arial" w:hAnsi="Arial" w:cs="Arial"/>
                <w:b/>
                <w:sz w:val="28"/>
                <w:szCs w:val="28"/>
              </w:rPr>
              <w:t xml:space="preserve"> Výtahová klec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72037C" w:rsidRPr="00654046" w:rsidTr="0072037C">
        <w:trPr>
          <w:trHeight w:val="567"/>
        </w:trPr>
        <w:tc>
          <w:tcPr>
            <w:tcW w:w="9212" w:type="dxa"/>
            <w:shd w:val="clear" w:color="auto" w:fill="FFFFFF" w:themeFill="background1"/>
            <w:vAlign w:val="center"/>
          </w:tcPr>
          <w:p w:rsidR="0072037C" w:rsidRDefault="0072037C" w:rsidP="0072037C">
            <w:pPr>
              <w:pStyle w:val="Default"/>
              <w:ind w:firstLine="709"/>
              <w:rPr>
                <w:rFonts w:ascii="Arial" w:hAnsi="Arial" w:cs="Arial"/>
              </w:rPr>
            </w:pPr>
          </w:p>
          <w:p w:rsidR="0072037C" w:rsidRPr="0072037C" w:rsidRDefault="0072037C" w:rsidP="0072037C">
            <w:pPr>
              <w:pStyle w:val="Default"/>
              <w:ind w:firstLine="709"/>
              <w:rPr>
                <w:rFonts w:ascii="Arial" w:hAnsi="Arial" w:cs="Arial"/>
              </w:rPr>
            </w:pPr>
            <w:r w:rsidRPr="0072037C">
              <w:rPr>
                <w:rFonts w:ascii="Arial" w:hAnsi="Arial" w:cs="Arial"/>
              </w:rPr>
              <w:t xml:space="preserve">Konstrukce klece se skládá ze dvou hlavních částí, nosného rámu a kabiny pro dopravované osoby. </w:t>
            </w:r>
          </w:p>
          <w:p w:rsidR="006C3F33" w:rsidRDefault="0072037C" w:rsidP="0072037C">
            <w:pPr>
              <w:pStyle w:val="Default"/>
              <w:ind w:firstLine="709"/>
              <w:rPr>
                <w:rFonts w:ascii="Arial" w:hAnsi="Arial" w:cs="Arial"/>
              </w:rPr>
            </w:pPr>
            <w:r w:rsidRPr="0072037C">
              <w:rPr>
                <w:rFonts w:ascii="Arial" w:hAnsi="Arial" w:cs="Arial"/>
              </w:rPr>
              <w:t>Nosný rám je tvořen horními a spodními nosníky, v </w:t>
            </w:r>
            <w:r w:rsidR="006C3F33">
              <w:rPr>
                <w:rFonts w:ascii="Arial" w:hAnsi="Arial" w:cs="Arial"/>
              </w:rPr>
              <w:t>dol</w:t>
            </w:r>
            <w:r w:rsidRPr="0072037C">
              <w:rPr>
                <w:rFonts w:ascii="Arial" w:hAnsi="Arial" w:cs="Arial"/>
              </w:rPr>
              <w:t>ní části rámu je umístěn závěs lan. Pomocí vodicích čelistí je nosný rám a s ním i vlastní kabina vedena ocelovými vodítky v šachtě výtahu. Proti pádu je klec jištěna zachycovači</w:t>
            </w:r>
            <w:r w:rsidR="006C3F33">
              <w:rPr>
                <w:rFonts w:ascii="Arial" w:hAnsi="Arial" w:cs="Arial"/>
              </w:rPr>
              <w:t xml:space="preserve">. </w:t>
            </w:r>
          </w:p>
          <w:p w:rsidR="0072037C" w:rsidRPr="0072037C" w:rsidRDefault="0072037C" w:rsidP="0072037C">
            <w:pPr>
              <w:pStyle w:val="Default"/>
              <w:ind w:firstLine="709"/>
              <w:rPr>
                <w:rFonts w:ascii="Arial" w:hAnsi="Arial" w:cs="Arial"/>
              </w:rPr>
            </w:pPr>
            <w:r w:rsidRPr="0072037C">
              <w:rPr>
                <w:rFonts w:ascii="Arial" w:hAnsi="Arial" w:cs="Arial"/>
              </w:rPr>
              <w:t xml:space="preserve">Kabina je neprůchozí, ocelová. Její prostor je ohrazen stropem, podlahou a stěnami. Uvnitř kabiny je umístěna ovladačová kombinace. Kabina je vybavena automatickými dveřmi </w:t>
            </w:r>
            <w:proofErr w:type="spellStart"/>
            <w:r w:rsidR="006C3F33">
              <w:rPr>
                <w:rFonts w:ascii="Arial" w:hAnsi="Arial" w:cs="Arial"/>
              </w:rPr>
              <w:t>Wittur</w:t>
            </w:r>
            <w:proofErr w:type="spellEnd"/>
            <w:r w:rsidR="006C3F33">
              <w:rPr>
                <w:rFonts w:ascii="Arial" w:hAnsi="Arial" w:cs="Arial"/>
              </w:rPr>
              <w:t xml:space="preserve">, augusty Evo </w:t>
            </w:r>
            <w:r w:rsidR="00AE6DAE">
              <w:rPr>
                <w:rFonts w:ascii="Arial" w:hAnsi="Arial" w:cs="Arial"/>
              </w:rPr>
              <w:t>8</w:t>
            </w:r>
            <w:r w:rsidR="006C3F33">
              <w:rPr>
                <w:rFonts w:ascii="Arial" w:hAnsi="Arial" w:cs="Arial"/>
              </w:rPr>
              <w:t>00/2000</w:t>
            </w:r>
            <w:r w:rsidRPr="0072037C">
              <w:rPr>
                <w:rFonts w:ascii="Arial" w:hAnsi="Arial" w:cs="Arial"/>
              </w:rPr>
              <w:t xml:space="preserve">. Osvětlení kabiny o hodnotě 100 </w:t>
            </w:r>
            <w:proofErr w:type="spellStart"/>
            <w:r w:rsidRPr="0072037C">
              <w:rPr>
                <w:rFonts w:ascii="Arial" w:hAnsi="Arial" w:cs="Arial"/>
              </w:rPr>
              <w:t>lx</w:t>
            </w:r>
            <w:proofErr w:type="spellEnd"/>
            <w:r w:rsidRPr="0072037C">
              <w:rPr>
                <w:rFonts w:ascii="Arial" w:hAnsi="Arial" w:cs="Arial"/>
              </w:rPr>
              <w:t xml:space="preserve"> (měřeno u podlahy) zajišťují elektrická osvětlovací tělesa ve stropě klece. Na stropě klece je umístěna elektroinstalace, ovladače revizní jízdy, dvoupolohový ovladač STOP, zásuvka na 230 V a osvětlení střechy kabiny s intenzitou 50 </w:t>
            </w:r>
            <w:proofErr w:type="spellStart"/>
            <w:r w:rsidRPr="0072037C">
              <w:rPr>
                <w:rFonts w:ascii="Arial" w:hAnsi="Arial" w:cs="Arial"/>
              </w:rPr>
              <w:t>lx</w:t>
            </w:r>
            <w:proofErr w:type="spellEnd"/>
            <w:r w:rsidRPr="0072037C">
              <w:rPr>
                <w:rFonts w:ascii="Arial" w:hAnsi="Arial" w:cs="Arial"/>
              </w:rPr>
              <w:t xml:space="preserve">. měřeného v 1 m nad kabinou. </w:t>
            </w:r>
          </w:p>
          <w:p w:rsidR="0072037C" w:rsidRPr="00C8770A" w:rsidRDefault="0072037C" w:rsidP="0072037C">
            <w:pPr>
              <w:pStyle w:val="Default"/>
              <w:ind w:firstLine="709"/>
              <w:rPr>
                <w:rFonts w:ascii="Arial" w:hAnsi="Arial" w:cs="Arial"/>
              </w:rPr>
            </w:pPr>
            <w:r w:rsidRPr="0072037C">
              <w:rPr>
                <w:rFonts w:ascii="Arial" w:hAnsi="Arial" w:cs="Arial"/>
              </w:rPr>
              <w:t xml:space="preserve">Střecha klece bude v prostoru pro obsluhu opatřena </w:t>
            </w:r>
            <w:proofErr w:type="spellStart"/>
            <w:r w:rsidRPr="0072037C">
              <w:rPr>
                <w:rFonts w:ascii="Arial" w:hAnsi="Arial" w:cs="Arial"/>
              </w:rPr>
              <w:t>okopovým</w:t>
            </w:r>
            <w:proofErr w:type="spellEnd"/>
            <w:r w:rsidRPr="0072037C">
              <w:rPr>
                <w:rFonts w:ascii="Arial" w:hAnsi="Arial" w:cs="Arial"/>
              </w:rPr>
              <w:t xml:space="preserve"> plechem výšky 100 mm</w:t>
            </w:r>
            <w:r w:rsidR="006C3F33">
              <w:rPr>
                <w:rFonts w:ascii="Arial" w:hAnsi="Arial" w:cs="Arial"/>
              </w:rPr>
              <w:t xml:space="preserve"> a zábradlím</w:t>
            </w:r>
            <w:r w:rsidRPr="0072037C">
              <w:rPr>
                <w:rFonts w:ascii="Arial" w:hAnsi="Arial" w:cs="Arial"/>
              </w:rPr>
              <w:t xml:space="preserve">. </w:t>
            </w:r>
            <w:r w:rsidR="006C3F33">
              <w:rPr>
                <w:rFonts w:ascii="Arial" w:hAnsi="Arial" w:cs="Arial"/>
              </w:rPr>
              <w:t xml:space="preserve">Výška sklopného zábradlí se spínačem je v pracovní poloze 700 mm. </w:t>
            </w:r>
            <w:r w:rsidRPr="0072037C">
              <w:rPr>
                <w:rFonts w:ascii="Arial" w:hAnsi="Arial" w:cs="Arial"/>
              </w:rPr>
              <w:t xml:space="preserve">Kabina výtahu bude vybavena dorozumívacím zařízením. </w:t>
            </w:r>
            <w:r w:rsidR="00C8770A" w:rsidRPr="00C8770A">
              <w:rPr>
                <w:rFonts w:ascii="Arial" w:hAnsi="Arial" w:cs="Arial"/>
              </w:rPr>
              <w:t>Pro zajištění spojení s vyprošťovací službou je ve strojovně instalována GSM brána.</w:t>
            </w:r>
          </w:p>
          <w:p w:rsidR="006C3F33" w:rsidRDefault="006C3F33" w:rsidP="006C3F33">
            <w:pPr>
              <w:pStyle w:val="Liftcomp"/>
              <w:spacing w:before="240" w:after="120"/>
              <w:ind w:left="426" w:firstLine="709"/>
              <w:jc w:val="both"/>
            </w:pPr>
            <w:r>
              <w:t xml:space="preserve">Na střeše klece </w:t>
            </w:r>
            <w:proofErr w:type="gramStart"/>
            <w:r>
              <w:t>je</w:t>
            </w:r>
            <w:proofErr w:type="gramEnd"/>
            <w:r>
              <w:t xml:space="preserve"> vyznačen prostor pro obsluhu viz obrázek 2.</w:t>
            </w:r>
          </w:p>
          <w:p w:rsidR="006C3F33" w:rsidRDefault="006C3F33" w:rsidP="00F35960">
            <w:pPr>
              <w:pStyle w:val="Liftcomp"/>
              <w:spacing w:before="240" w:after="120"/>
              <w:ind w:left="426" w:firstLine="709"/>
              <w:jc w:val="center"/>
            </w:pPr>
            <w:r>
              <w:rPr>
                <w:noProof/>
                <w:lang w:val="sk-SK" w:eastAsia="zh-CN"/>
              </w:rPr>
              <w:drawing>
                <wp:inline distT="0" distB="0" distL="0" distR="0">
                  <wp:extent cx="2771775" cy="1487476"/>
                  <wp:effectExtent l="19050" t="0" r="9525" b="0"/>
                  <wp:docPr id="9" name="Obrázek 8" descr="stů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j.JPG"/>
                          <pic:cNvPicPr/>
                        </pic:nvPicPr>
                        <pic:blipFill>
                          <a:blip r:embed="rId10" cstate="print"/>
                          <a:srcRect b="497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6525" cy="149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037C" w:rsidRDefault="006C3F33" w:rsidP="00824CEC">
            <w:pPr>
              <w:pStyle w:val="Liftcomp"/>
              <w:spacing w:before="240" w:after="120"/>
              <w:ind w:left="426" w:firstLine="709"/>
              <w:jc w:val="center"/>
              <w:rPr>
                <w:rFonts w:cs="Arial"/>
              </w:rPr>
            </w:pPr>
            <w:r>
              <w:t>Obr. 2</w:t>
            </w:r>
          </w:p>
        </w:tc>
      </w:tr>
      <w:tr w:rsidR="0072037C" w:rsidRPr="00654046" w:rsidTr="0072037C">
        <w:trPr>
          <w:trHeight w:val="567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72037C" w:rsidRDefault="0072037C" w:rsidP="0072037C">
            <w:pPr>
              <w:pStyle w:val="Default"/>
              <w:ind w:firstLine="360"/>
              <w:rPr>
                <w:rFonts w:ascii="Arial" w:hAnsi="Arial" w:cs="Arial"/>
              </w:rPr>
            </w:pPr>
            <w:r w:rsidRPr="0072037C">
              <w:rPr>
                <w:rFonts w:ascii="Arial" w:hAnsi="Arial" w:cs="Arial"/>
                <w:b/>
                <w:sz w:val="28"/>
                <w:szCs w:val="28"/>
              </w:rPr>
              <w:t>4.</w:t>
            </w:r>
            <w:r>
              <w:rPr>
                <w:rFonts w:ascii="Arial" w:hAnsi="Arial" w:cs="Arial"/>
                <w:b/>
                <w:sz w:val="28"/>
                <w:szCs w:val="28"/>
              </w:rPr>
              <w:t>2.</w:t>
            </w:r>
            <w:r w:rsidRPr="0072037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Protiváha:</w:t>
            </w:r>
          </w:p>
        </w:tc>
      </w:tr>
      <w:tr w:rsidR="0072037C" w:rsidRPr="00654046" w:rsidTr="0072037C">
        <w:trPr>
          <w:trHeight w:val="567"/>
        </w:trPr>
        <w:tc>
          <w:tcPr>
            <w:tcW w:w="9212" w:type="dxa"/>
            <w:shd w:val="clear" w:color="auto" w:fill="FFFFFF" w:themeFill="background1"/>
            <w:vAlign w:val="center"/>
          </w:tcPr>
          <w:p w:rsidR="0072037C" w:rsidRDefault="0072037C" w:rsidP="0072037C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37C" w:rsidRDefault="00B4072C" w:rsidP="002731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Není použito.</w:t>
            </w:r>
          </w:p>
          <w:p w:rsidR="002545E5" w:rsidRDefault="002545E5" w:rsidP="002731EA">
            <w:pPr>
              <w:rPr>
                <w:rFonts w:ascii="Arial" w:hAnsi="Arial" w:cs="Arial"/>
              </w:rPr>
            </w:pPr>
          </w:p>
        </w:tc>
      </w:tr>
      <w:tr w:rsidR="0072037C" w:rsidRPr="00654046" w:rsidTr="0072037C">
        <w:trPr>
          <w:trHeight w:val="567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72037C" w:rsidRPr="0072037C" w:rsidRDefault="0072037C" w:rsidP="0072037C">
            <w:pPr>
              <w:pStyle w:val="Default"/>
              <w:numPr>
                <w:ilvl w:val="1"/>
                <w:numId w:val="3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72037C">
              <w:rPr>
                <w:rFonts w:ascii="Arial" w:hAnsi="Arial" w:cs="Arial"/>
                <w:b/>
                <w:sz w:val="28"/>
                <w:szCs w:val="28"/>
              </w:rPr>
              <w:t>Elektroinstalace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72037C" w:rsidRPr="00654046" w:rsidTr="0072037C">
        <w:trPr>
          <w:trHeight w:val="567"/>
        </w:trPr>
        <w:tc>
          <w:tcPr>
            <w:tcW w:w="9212" w:type="dxa"/>
            <w:shd w:val="clear" w:color="auto" w:fill="FFFFFF" w:themeFill="background1"/>
            <w:vAlign w:val="center"/>
          </w:tcPr>
          <w:p w:rsidR="0072037C" w:rsidRDefault="0072037C" w:rsidP="0072037C">
            <w:pPr>
              <w:jc w:val="both"/>
            </w:pPr>
          </w:p>
          <w:p w:rsidR="0072037C" w:rsidRPr="0072037C" w:rsidRDefault="0072037C" w:rsidP="007203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37C">
              <w:rPr>
                <w:rFonts w:ascii="Arial" w:hAnsi="Arial" w:cs="Arial"/>
                <w:sz w:val="24"/>
                <w:szCs w:val="24"/>
              </w:rPr>
              <w:t>Všechny obvody musí být provedeny dle dodaných schémat. Instalace je vedena vodiči v instalačních žlabech v přední části šachty. Bude splňovat požadavky platných STN.</w:t>
            </w:r>
          </w:p>
          <w:p w:rsidR="0072037C" w:rsidRPr="0072037C" w:rsidRDefault="0072037C" w:rsidP="0072037C">
            <w:pPr>
              <w:pStyle w:val="Default"/>
              <w:rPr>
                <w:rFonts w:ascii="Arial" w:hAnsi="Arial" w:cs="Arial"/>
                <w:b/>
              </w:rPr>
            </w:pPr>
          </w:p>
        </w:tc>
      </w:tr>
      <w:tr w:rsidR="0072037C" w:rsidRPr="00654046" w:rsidTr="0072037C">
        <w:trPr>
          <w:trHeight w:val="567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72037C" w:rsidRPr="0072037C" w:rsidRDefault="0072037C" w:rsidP="0072037C">
            <w:pPr>
              <w:pStyle w:val="Odsekzoznamu"/>
              <w:numPr>
                <w:ilvl w:val="1"/>
                <w:numId w:val="3"/>
              </w:num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72037C">
              <w:rPr>
                <w:rFonts w:ascii="Arial" w:hAnsi="Arial" w:cs="Arial"/>
                <w:b/>
                <w:sz w:val="28"/>
                <w:szCs w:val="28"/>
              </w:rPr>
              <w:lastRenderedPageBreak/>
              <w:t>Řízení výtahu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72037C" w:rsidRPr="00654046" w:rsidTr="0072037C">
        <w:trPr>
          <w:trHeight w:val="567"/>
        </w:trPr>
        <w:tc>
          <w:tcPr>
            <w:tcW w:w="9212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2037C" w:rsidRDefault="0072037C" w:rsidP="0072037C">
            <w:pPr>
              <w:pStyle w:val="Default"/>
              <w:rPr>
                <w:sz w:val="22"/>
                <w:szCs w:val="22"/>
              </w:rPr>
            </w:pPr>
          </w:p>
          <w:p w:rsidR="0072037C" w:rsidRPr="0072037C" w:rsidRDefault="0072037C" w:rsidP="0072037C">
            <w:pPr>
              <w:pStyle w:val="Default"/>
              <w:rPr>
                <w:rFonts w:ascii="Arial" w:hAnsi="Arial" w:cs="Arial"/>
              </w:rPr>
            </w:pPr>
            <w:r w:rsidRPr="0072037C">
              <w:rPr>
                <w:rFonts w:ascii="Arial" w:hAnsi="Arial" w:cs="Arial"/>
              </w:rPr>
              <w:t xml:space="preserve">V kleci je umístěna ovladačová kombinace pro volbu stanic, nouzové osvětlení a nouzová signalizace s instalovaným komunikačním zařízením dle čl. čl. 5.12.3.1 STN EN 81-20 s připojením na GSM bránu. </w:t>
            </w:r>
          </w:p>
          <w:p w:rsidR="0072037C" w:rsidRDefault="0072037C" w:rsidP="009A2B47">
            <w:pPr>
              <w:jc w:val="both"/>
            </w:pPr>
            <w:r w:rsidRPr="0072037C">
              <w:rPr>
                <w:rFonts w:ascii="Arial" w:hAnsi="Arial" w:cs="Arial"/>
                <w:sz w:val="24"/>
                <w:szCs w:val="24"/>
              </w:rPr>
              <w:t>Tlačítkové ovladače pro volbu stanic jsou označeny symboly dle SOD.</w:t>
            </w:r>
          </w:p>
        </w:tc>
      </w:tr>
    </w:tbl>
    <w:p w:rsidR="001D195F" w:rsidRDefault="001D195F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p w:rsidR="00AE6DAE" w:rsidRDefault="00AE6DAE">
      <w:pPr>
        <w:rPr>
          <w:rFonts w:ascii="Arial" w:hAnsi="Arial" w:cs="Arial"/>
          <w:sz w:val="28"/>
          <w:szCs w:val="28"/>
        </w:rPr>
      </w:pPr>
    </w:p>
    <w:tbl>
      <w:tblPr>
        <w:tblStyle w:val="Mriekatabuky"/>
        <w:tblW w:w="9311" w:type="dxa"/>
        <w:tblLook w:val="04A0"/>
      </w:tblPr>
      <w:tblGrid>
        <w:gridCol w:w="9311"/>
      </w:tblGrid>
      <w:tr w:rsidR="0072037C" w:rsidRPr="00654046" w:rsidTr="001D195F">
        <w:trPr>
          <w:trHeight w:val="577"/>
        </w:trPr>
        <w:tc>
          <w:tcPr>
            <w:tcW w:w="93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037C" w:rsidRPr="00654046" w:rsidRDefault="0072037C" w:rsidP="0072037C">
            <w:pPr>
              <w:pStyle w:val="Zkladntext21"/>
              <w:widowControl/>
              <w:numPr>
                <w:ilvl w:val="0"/>
                <w:numId w:val="3"/>
              </w:numPr>
              <w:tabs>
                <w:tab w:val="left" w:pos="2268"/>
              </w:tabs>
              <w:spacing w:before="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Zákony, normy, posouzení shody:</w:t>
            </w:r>
          </w:p>
        </w:tc>
      </w:tr>
      <w:tr w:rsidR="0072037C" w:rsidRPr="0072037C" w:rsidTr="001D195F">
        <w:trPr>
          <w:trHeight w:val="577"/>
        </w:trPr>
        <w:tc>
          <w:tcPr>
            <w:tcW w:w="9311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72037C" w:rsidRPr="0072037C" w:rsidRDefault="0072037C" w:rsidP="00A823D8">
            <w:pPr>
              <w:rPr>
                <w:rFonts w:ascii="Arial" w:hAnsi="Arial" w:cs="Arial"/>
                <w:sz w:val="24"/>
                <w:szCs w:val="24"/>
              </w:rPr>
            </w:pPr>
          </w:p>
          <w:p w:rsidR="0072037C" w:rsidRPr="0072037C" w:rsidRDefault="0072037C" w:rsidP="0072037C">
            <w:pPr>
              <w:pStyle w:val="Zarkazkladnhotextu"/>
              <w:rPr>
                <w:rFonts w:ascii="Arial" w:hAnsi="Arial" w:cs="Arial"/>
                <w:sz w:val="24"/>
                <w:szCs w:val="24"/>
              </w:rPr>
            </w:pPr>
            <w:r w:rsidRPr="0072037C">
              <w:rPr>
                <w:rFonts w:ascii="Arial" w:hAnsi="Arial" w:cs="Arial"/>
                <w:sz w:val="24"/>
                <w:szCs w:val="24"/>
              </w:rPr>
              <w:t>Výrobek splňuje technické požadavky, normy, vyhlášky, zákony, které jsou uvedeny v těchto předpisech:</w:t>
            </w:r>
          </w:p>
          <w:p w:rsidR="0072037C" w:rsidRPr="0072037C" w:rsidRDefault="0072037C" w:rsidP="0072037C">
            <w:pPr>
              <w:pStyle w:val="Pa2"/>
              <w:numPr>
                <w:ilvl w:val="0"/>
                <w:numId w:val="7"/>
              </w:numPr>
              <w:spacing w:line="240" w:lineRule="auto"/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</w:pPr>
            <w:r w:rsidRPr="0072037C">
              <w:rPr>
                <w:rStyle w:val="A6"/>
                <w:rFonts w:ascii="Arial" w:hAnsi="Arial" w:cs="Arial"/>
                <w:b/>
                <w:sz w:val="24"/>
                <w:szCs w:val="24"/>
                <w:lang w:val="sk-SK"/>
              </w:rPr>
              <w:t>Zákon 264/1999 Z. z.</w:t>
            </w:r>
            <w:r w:rsidRPr="0072037C"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  <w:t xml:space="preserve"> o technických požiadavkách na výrobky a o posudzovaní zhody a o zmene a doplnení niektorých zákonov</w:t>
            </w:r>
          </w:p>
          <w:p w:rsidR="0072037C" w:rsidRPr="0072037C" w:rsidRDefault="0072037C" w:rsidP="0072037C">
            <w:pPr>
              <w:rPr>
                <w:rFonts w:ascii="Arial" w:hAnsi="Arial" w:cs="Arial"/>
                <w:sz w:val="24"/>
                <w:szCs w:val="24"/>
                <w:lang w:val="sk-SK"/>
              </w:rPr>
            </w:pPr>
          </w:p>
          <w:p w:rsidR="0072037C" w:rsidRPr="0072037C" w:rsidRDefault="0072037C" w:rsidP="0072037C">
            <w:pPr>
              <w:pStyle w:val="Pa8"/>
              <w:numPr>
                <w:ilvl w:val="0"/>
                <w:numId w:val="7"/>
              </w:numPr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</w:pPr>
            <w:r w:rsidRPr="0072037C">
              <w:rPr>
                <w:rStyle w:val="A6"/>
                <w:rFonts w:ascii="Arial" w:hAnsi="Arial" w:cs="Arial"/>
                <w:b/>
                <w:sz w:val="24"/>
                <w:szCs w:val="24"/>
                <w:lang w:val="sk-SK"/>
              </w:rPr>
              <w:t>Nariadenie vlády 235/2015  Z. z.</w:t>
            </w:r>
            <w:r w:rsidRPr="0072037C"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  <w:t>, ktorým sa ustanovujú podrobnosti o technických požiadavkách a - postupoch posu</w:t>
            </w:r>
            <w:r w:rsidRPr="0072037C"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  <w:softHyphen/>
              <w:t>dzovania zhody na výťahy</w:t>
            </w:r>
          </w:p>
          <w:p w:rsidR="0072037C" w:rsidRPr="0072037C" w:rsidRDefault="0072037C" w:rsidP="0072037C">
            <w:pPr>
              <w:rPr>
                <w:rFonts w:ascii="Arial" w:hAnsi="Arial" w:cs="Arial"/>
                <w:sz w:val="24"/>
                <w:szCs w:val="24"/>
                <w:lang w:val="sk-SK"/>
              </w:rPr>
            </w:pPr>
          </w:p>
          <w:p w:rsidR="0072037C" w:rsidRPr="0072037C" w:rsidRDefault="0072037C" w:rsidP="0072037C">
            <w:pPr>
              <w:pStyle w:val="Pa8"/>
              <w:numPr>
                <w:ilvl w:val="0"/>
                <w:numId w:val="7"/>
              </w:numPr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</w:pPr>
            <w:r w:rsidRPr="0072037C">
              <w:rPr>
                <w:rStyle w:val="A6"/>
                <w:rFonts w:ascii="Arial" w:hAnsi="Arial" w:cs="Arial"/>
                <w:b/>
                <w:sz w:val="24"/>
                <w:szCs w:val="24"/>
                <w:lang w:val="sk-SK"/>
              </w:rPr>
              <w:t>Nariadenie vlády 127/2016  Z. z.</w:t>
            </w:r>
            <w:r w:rsidRPr="0072037C"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  <w:t xml:space="preserve">, ktorým sa stanovia technické požiadavky na elektromagnetickú kompatibilitu </w:t>
            </w:r>
          </w:p>
          <w:p w:rsidR="0072037C" w:rsidRPr="0072037C" w:rsidRDefault="0072037C" w:rsidP="0072037C">
            <w:pPr>
              <w:rPr>
                <w:rFonts w:ascii="Arial" w:hAnsi="Arial" w:cs="Arial"/>
                <w:sz w:val="24"/>
                <w:szCs w:val="24"/>
                <w:lang w:val="sk-SK"/>
              </w:rPr>
            </w:pPr>
          </w:p>
          <w:p w:rsidR="0072037C" w:rsidRPr="001C7221" w:rsidRDefault="0072037C" w:rsidP="0072037C">
            <w:pPr>
              <w:pStyle w:val="Pa8"/>
              <w:numPr>
                <w:ilvl w:val="0"/>
                <w:numId w:val="6"/>
              </w:numPr>
              <w:rPr>
                <w:rStyle w:val="A6"/>
                <w:rFonts w:ascii="Arial" w:hAnsi="Arial" w:cs="Arial"/>
                <w:sz w:val="24"/>
                <w:szCs w:val="24"/>
              </w:rPr>
            </w:pPr>
            <w:r w:rsidRPr="0072037C">
              <w:rPr>
                <w:rStyle w:val="A6"/>
                <w:rFonts w:ascii="Arial" w:hAnsi="Arial" w:cs="Arial"/>
                <w:b/>
                <w:sz w:val="24"/>
                <w:szCs w:val="24"/>
                <w:lang w:val="sk-SK"/>
              </w:rPr>
              <w:t>Vyhláška 532/2002 Z. z.</w:t>
            </w:r>
            <w:r w:rsidRPr="0072037C"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  <w:t>, ktorou sa ustanovujú podrobnosti o všeobecných technických požiadavkách na výstavbu a o všeobecných technických požiadavkách na stavby užívané osobami s obmedzenou schopnosťou pohybu a orientácie (</w:t>
            </w:r>
            <w:r w:rsidRPr="001C7221">
              <w:rPr>
                <w:rStyle w:val="A6"/>
                <w:rFonts w:ascii="Arial" w:hAnsi="Arial" w:cs="Arial"/>
                <w:sz w:val="24"/>
                <w:szCs w:val="24"/>
              </w:rPr>
              <w:t>maximálně naplněné požadavky dle možností stávající budovy).</w:t>
            </w:r>
          </w:p>
          <w:p w:rsidR="0072037C" w:rsidRPr="0072037C" w:rsidRDefault="0072037C" w:rsidP="0072037C">
            <w:pPr>
              <w:rPr>
                <w:lang w:val="sk-SK"/>
              </w:rPr>
            </w:pPr>
          </w:p>
          <w:p w:rsidR="0072037C" w:rsidRPr="002731EA" w:rsidRDefault="0072037C" w:rsidP="0072037C">
            <w:pPr>
              <w:numPr>
                <w:ilvl w:val="0"/>
                <w:numId w:val="6"/>
              </w:numPr>
              <w:tabs>
                <w:tab w:val="left" w:pos="720"/>
              </w:tabs>
              <w:ind w:left="709"/>
              <w:jc w:val="both"/>
              <w:rPr>
                <w:rStyle w:val="A6"/>
                <w:rFonts w:ascii="Arial" w:hAnsi="Arial" w:cs="Arial"/>
                <w:color w:val="auto"/>
                <w:sz w:val="24"/>
                <w:szCs w:val="24"/>
              </w:rPr>
            </w:pPr>
            <w:r w:rsidRPr="0072037C">
              <w:rPr>
                <w:rStyle w:val="A6"/>
                <w:rFonts w:ascii="Arial" w:hAnsi="Arial" w:cs="Arial"/>
                <w:b/>
                <w:sz w:val="24"/>
                <w:szCs w:val="24"/>
                <w:lang w:val="sk-SK"/>
              </w:rPr>
              <w:t>Vyhláška 549/2007</w:t>
            </w:r>
            <w:r w:rsidRPr="0072037C">
              <w:rPr>
                <w:rStyle w:val="A6"/>
                <w:rFonts w:ascii="Arial" w:hAnsi="Arial" w:cs="Arial"/>
                <w:sz w:val="24"/>
                <w:szCs w:val="24"/>
                <w:lang w:val="sk-SK"/>
              </w:rPr>
              <w:t>, ktorou sa ustanovujú podrobnosti o prípustných hodnotách hluku, infrazvuku a vibrácií a o požiadavkách na objektivizáciu hluku, infrazvuku a vibrácií v životnom prostredí</w:t>
            </w:r>
          </w:p>
          <w:p w:rsidR="002731EA" w:rsidRDefault="002731EA" w:rsidP="002731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037C" w:rsidRPr="0072037C" w:rsidRDefault="0072037C" w:rsidP="0072037C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3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STN EN 81-20 </w:t>
            </w:r>
            <w:proofErr w:type="spellStart"/>
            <w:r w:rsidR="002545E5">
              <w:rPr>
                <w:rFonts w:ascii="Arial" w:hAnsi="Arial" w:cs="Arial"/>
                <w:b/>
                <w:bCs/>
                <w:sz w:val="24"/>
                <w:szCs w:val="24"/>
              </w:rPr>
              <w:t>ed</w:t>
            </w:r>
            <w:proofErr w:type="spellEnd"/>
            <w:r w:rsidR="002545E5">
              <w:rPr>
                <w:rFonts w:ascii="Arial" w:hAnsi="Arial" w:cs="Arial"/>
                <w:b/>
                <w:bCs/>
                <w:sz w:val="24"/>
                <w:szCs w:val="24"/>
              </w:rPr>
              <w:t>. 2</w:t>
            </w:r>
            <w:r w:rsidRPr="007203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- Bezpečnostní předpisy pro konstrukci a montáž výtahů – Výtahy pro dopravu osob a nákladů – Část 20: Výtahy pro dopravu osob a osob a nákladů</w:t>
            </w:r>
          </w:p>
          <w:p w:rsidR="0072037C" w:rsidRPr="0072037C" w:rsidRDefault="0072037C" w:rsidP="0072037C">
            <w:pPr>
              <w:pStyle w:val="Odsekzoznamu"/>
              <w:rPr>
                <w:rFonts w:ascii="Arial" w:hAnsi="Arial" w:cs="Arial"/>
                <w:sz w:val="24"/>
                <w:szCs w:val="24"/>
              </w:rPr>
            </w:pPr>
          </w:p>
          <w:p w:rsidR="0072037C" w:rsidRPr="001C7221" w:rsidRDefault="0072037C" w:rsidP="0072037C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37C">
              <w:rPr>
                <w:rFonts w:ascii="Arial" w:hAnsi="Arial" w:cs="Arial"/>
                <w:b/>
                <w:bCs/>
                <w:sz w:val="24"/>
                <w:szCs w:val="24"/>
              </w:rPr>
              <w:t>STN EN 81-50  - Bezpečnostní předpisy pro konstrukci a montáž výtahů – Přezkoušení a zkoušky – Část 50: Konstrukční zásady, výpočty, přezkoušení a zkoušky výtahových komponent.</w:t>
            </w:r>
          </w:p>
          <w:p w:rsidR="001C7221" w:rsidRDefault="001C7221" w:rsidP="001C7221">
            <w:pPr>
              <w:pStyle w:val="Odsekzoznamu"/>
              <w:rPr>
                <w:rFonts w:ascii="Arial" w:hAnsi="Arial" w:cs="Arial"/>
                <w:sz w:val="24"/>
                <w:szCs w:val="24"/>
              </w:rPr>
            </w:pPr>
          </w:p>
          <w:p w:rsidR="001C7221" w:rsidRPr="0072037C" w:rsidRDefault="001C7221" w:rsidP="0072037C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37C">
              <w:rPr>
                <w:rFonts w:ascii="Arial" w:hAnsi="Arial" w:cs="Arial"/>
                <w:b/>
                <w:bCs/>
                <w:sz w:val="24"/>
                <w:szCs w:val="24"/>
              </w:rPr>
              <w:t>EN 81-21  - Bezpečnostní předpisy pro konstrukci a montáž výtahů - Výtahy pro dopravu osob a osob a nákladů – Část 21: Nové výtahy pro dopravu osob a osob a nákladů v existujících budovách</w:t>
            </w:r>
          </w:p>
          <w:p w:rsidR="0072037C" w:rsidRPr="0072037C" w:rsidRDefault="0072037C" w:rsidP="0072037C">
            <w:pPr>
              <w:pStyle w:val="Odsekzoznamu"/>
              <w:rPr>
                <w:rFonts w:ascii="Arial" w:hAnsi="Arial" w:cs="Arial"/>
                <w:sz w:val="24"/>
                <w:szCs w:val="24"/>
              </w:rPr>
            </w:pPr>
          </w:p>
          <w:p w:rsidR="0072037C" w:rsidRPr="001C7221" w:rsidRDefault="0072037C" w:rsidP="0072037C">
            <w:pPr>
              <w:ind w:firstLine="36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C7221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  <w:t>U  výtahu bude provedena zkouška oznámeným subjektem v rozsahu dle STN EN 81-20, modul G a bude vypracován certifikát shody. Po vydání certifikátu shody bude výtah opatřen označením CE a identifikačním číslem oznámeného subjektu a vydáno prohlášení o shodě EU.</w:t>
            </w:r>
          </w:p>
          <w:p w:rsidR="0072037C" w:rsidRPr="0072037C" w:rsidRDefault="0072037C" w:rsidP="00A823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037C" w:rsidRPr="0072037C" w:rsidRDefault="0072037C" w:rsidP="001D195F">
      <w:pPr>
        <w:rPr>
          <w:rFonts w:ascii="Arial" w:hAnsi="Arial" w:cs="Arial"/>
          <w:sz w:val="24"/>
          <w:szCs w:val="24"/>
        </w:rPr>
      </w:pPr>
    </w:p>
    <w:sectPr w:rsidR="0072037C" w:rsidRPr="0072037C" w:rsidSect="00FF742C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0F9" w:rsidRDefault="000400F9" w:rsidP="00794F49">
      <w:pPr>
        <w:spacing w:after="0" w:line="240" w:lineRule="auto"/>
      </w:pPr>
      <w:r>
        <w:separator/>
      </w:r>
    </w:p>
  </w:endnote>
  <w:endnote w:type="continuationSeparator" w:id="1">
    <w:p w:rsidR="000400F9" w:rsidRDefault="000400F9" w:rsidP="00794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TC Stone Sans Com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050"/>
      <w:gridCol w:w="1188"/>
      <w:gridCol w:w="4050"/>
    </w:tblGrid>
    <w:tr w:rsidR="00BF2320" w:rsidTr="00BF2320">
      <w:trPr>
        <w:trHeight w:val="151"/>
      </w:trPr>
      <w:tc>
        <w:tcPr>
          <w:tcW w:w="2250" w:type="pct"/>
          <w:tcBorders>
            <w:bottom w:val="single" w:sz="8" w:space="0" w:color="auto"/>
          </w:tcBorders>
        </w:tcPr>
        <w:p w:rsidR="00BF2320" w:rsidRDefault="00BF2320">
          <w:pPr>
            <w:pStyle w:val="Hlavika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F2320" w:rsidRDefault="00BF2320" w:rsidP="009A2B47">
          <w:pPr>
            <w:pStyle w:val="Bezriadkovania"/>
            <w:jc w:val="center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Stránka </w:t>
          </w:r>
          <w:fldSimple w:instr=" PAGE  \* MERGEFORMAT ">
            <w:r w:rsidR="00C0513B" w:rsidRPr="00C0513B">
              <w:rPr>
                <w:rFonts w:asciiTheme="majorHAnsi" w:hAnsiTheme="majorHAnsi"/>
                <w:b/>
                <w:noProof/>
              </w:rPr>
              <w:t>2</w:t>
            </w:r>
          </w:fldSimple>
        </w:p>
      </w:tc>
      <w:tc>
        <w:tcPr>
          <w:tcW w:w="2250" w:type="pct"/>
          <w:tcBorders>
            <w:bottom w:val="single" w:sz="8" w:space="0" w:color="auto"/>
          </w:tcBorders>
        </w:tcPr>
        <w:p w:rsidR="00BF2320" w:rsidRDefault="00BF2320">
          <w:pPr>
            <w:pStyle w:val="Hlavika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F2320" w:rsidTr="00BF2320">
      <w:trPr>
        <w:trHeight w:val="150"/>
      </w:trPr>
      <w:tc>
        <w:tcPr>
          <w:tcW w:w="2250" w:type="pct"/>
          <w:tcBorders>
            <w:top w:val="single" w:sz="8" w:space="0" w:color="auto"/>
          </w:tcBorders>
        </w:tcPr>
        <w:p w:rsidR="00BF2320" w:rsidRDefault="00BF2320">
          <w:pPr>
            <w:pStyle w:val="Hlavika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F2320" w:rsidRDefault="00BF2320">
          <w:pPr>
            <w:pStyle w:val="Hlavika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8" w:space="0" w:color="auto"/>
          </w:tcBorders>
        </w:tcPr>
        <w:p w:rsidR="00BF2320" w:rsidRDefault="00BF2320">
          <w:pPr>
            <w:pStyle w:val="Hlavika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94F49" w:rsidRDefault="00794F49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0F9" w:rsidRDefault="000400F9" w:rsidP="00794F49">
      <w:pPr>
        <w:spacing w:after="0" w:line="240" w:lineRule="auto"/>
      </w:pPr>
      <w:r>
        <w:separator/>
      </w:r>
    </w:p>
  </w:footnote>
  <w:footnote w:type="continuationSeparator" w:id="1">
    <w:p w:rsidR="000400F9" w:rsidRDefault="000400F9" w:rsidP="00794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F49" w:rsidRDefault="00013D26">
    <w:pPr>
      <w:pStyle w:val="Hlavika"/>
    </w:pPr>
    <w:r w:rsidRPr="00013D26">
      <w:rPr>
        <w:noProof/>
        <w:lang w:val="sk-SK" w:eastAsia="zh-CN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-437054</wp:posOffset>
          </wp:positionV>
          <wp:extent cx="7333728" cy="1866378"/>
          <wp:effectExtent l="19050" t="0" r="0" b="0"/>
          <wp:wrapTopAndBottom/>
          <wp:docPr id="5" name="Obrázok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7425" cy="1865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320" w:rsidRDefault="00BF2320">
    <w:pPr>
      <w:pStyle w:val="Hlavika"/>
    </w:pPr>
    <w:r w:rsidRPr="00BF2320">
      <w:rPr>
        <w:noProof/>
        <w:lang w:val="sk-SK"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-437515</wp:posOffset>
          </wp:positionV>
          <wp:extent cx="7337425" cy="1865630"/>
          <wp:effectExtent l="19050" t="0" r="0" b="0"/>
          <wp:wrapTopAndBottom/>
          <wp:docPr id="3" name="Obrázok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7425" cy="1865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349B"/>
    <w:multiLevelType w:val="hybridMultilevel"/>
    <w:tmpl w:val="6994D5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C3F96"/>
    <w:multiLevelType w:val="multilevel"/>
    <w:tmpl w:val="6900B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B4B3484"/>
    <w:multiLevelType w:val="multilevel"/>
    <w:tmpl w:val="6900B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F860886"/>
    <w:multiLevelType w:val="hybridMultilevel"/>
    <w:tmpl w:val="C5260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44D21"/>
    <w:multiLevelType w:val="hybridMultilevel"/>
    <w:tmpl w:val="DE1A2AE2"/>
    <w:lvl w:ilvl="0" w:tplc="B7140E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B53736"/>
    <w:multiLevelType w:val="hybridMultilevel"/>
    <w:tmpl w:val="C5260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36E57"/>
    <w:multiLevelType w:val="hybridMultilevel"/>
    <w:tmpl w:val="15D610A4"/>
    <w:lvl w:ilvl="0" w:tplc="2FE6FA3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B5697C"/>
    <w:multiLevelType w:val="hybridMultilevel"/>
    <w:tmpl w:val="A1D29B98"/>
    <w:lvl w:ilvl="0" w:tplc="829E5822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1" fillcolor="none [820]" stroke="f">
      <v:fill color="none [820]" opacity=".5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AB2250"/>
    <w:rsid w:val="00013D26"/>
    <w:rsid w:val="00035195"/>
    <w:rsid w:val="000400F9"/>
    <w:rsid w:val="00051A86"/>
    <w:rsid w:val="000A5B00"/>
    <w:rsid w:val="000A7341"/>
    <w:rsid w:val="000E7AFE"/>
    <w:rsid w:val="00120573"/>
    <w:rsid w:val="00132D4F"/>
    <w:rsid w:val="001437B8"/>
    <w:rsid w:val="00144F87"/>
    <w:rsid w:val="001644C1"/>
    <w:rsid w:val="00185442"/>
    <w:rsid w:val="00193FF2"/>
    <w:rsid w:val="001C7221"/>
    <w:rsid w:val="001D195F"/>
    <w:rsid w:val="001E791C"/>
    <w:rsid w:val="00252135"/>
    <w:rsid w:val="002545E5"/>
    <w:rsid w:val="002560AD"/>
    <w:rsid w:val="002731EA"/>
    <w:rsid w:val="002A2936"/>
    <w:rsid w:val="002A6B18"/>
    <w:rsid w:val="002C1DC6"/>
    <w:rsid w:val="002C322C"/>
    <w:rsid w:val="003018FA"/>
    <w:rsid w:val="003225AD"/>
    <w:rsid w:val="00395FF8"/>
    <w:rsid w:val="003B4E06"/>
    <w:rsid w:val="003D4564"/>
    <w:rsid w:val="00444427"/>
    <w:rsid w:val="004B377C"/>
    <w:rsid w:val="004B7A53"/>
    <w:rsid w:val="004D471C"/>
    <w:rsid w:val="004E01B6"/>
    <w:rsid w:val="004E3AF7"/>
    <w:rsid w:val="00502E4C"/>
    <w:rsid w:val="00526F12"/>
    <w:rsid w:val="0054478E"/>
    <w:rsid w:val="005A1B98"/>
    <w:rsid w:val="005D5BC7"/>
    <w:rsid w:val="00601B9C"/>
    <w:rsid w:val="00654046"/>
    <w:rsid w:val="006552E8"/>
    <w:rsid w:val="00696A11"/>
    <w:rsid w:val="006C3F33"/>
    <w:rsid w:val="006E48CF"/>
    <w:rsid w:val="006E6C19"/>
    <w:rsid w:val="006E6C35"/>
    <w:rsid w:val="00703C33"/>
    <w:rsid w:val="007047C7"/>
    <w:rsid w:val="0072037C"/>
    <w:rsid w:val="0077144B"/>
    <w:rsid w:val="0078578B"/>
    <w:rsid w:val="00794F49"/>
    <w:rsid w:val="007958F6"/>
    <w:rsid w:val="007F48ED"/>
    <w:rsid w:val="00802984"/>
    <w:rsid w:val="008112BF"/>
    <w:rsid w:val="00812C33"/>
    <w:rsid w:val="00814E41"/>
    <w:rsid w:val="00824CEC"/>
    <w:rsid w:val="00846F0D"/>
    <w:rsid w:val="00885A92"/>
    <w:rsid w:val="008B040B"/>
    <w:rsid w:val="00933021"/>
    <w:rsid w:val="00954A34"/>
    <w:rsid w:val="0097355E"/>
    <w:rsid w:val="009A2B47"/>
    <w:rsid w:val="00A079E7"/>
    <w:rsid w:val="00A66A7C"/>
    <w:rsid w:val="00A84641"/>
    <w:rsid w:val="00AA7C0B"/>
    <w:rsid w:val="00AB2250"/>
    <w:rsid w:val="00AB7244"/>
    <w:rsid w:val="00AE6DAE"/>
    <w:rsid w:val="00B328DE"/>
    <w:rsid w:val="00B4072C"/>
    <w:rsid w:val="00BC7339"/>
    <w:rsid w:val="00BF2320"/>
    <w:rsid w:val="00C0513B"/>
    <w:rsid w:val="00C41F01"/>
    <w:rsid w:val="00C575A1"/>
    <w:rsid w:val="00C8347A"/>
    <w:rsid w:val="00C8770A"/>
    <w:rsid w:val="00CE6126"/>
    <w:rsid w:val="00CF2742"/>
    <w:rsid w:val="00D525BF"/>
    <w:rsid w:val="00D64590"/>
    <w:rsid w:val="00D84DE9"/>
    <w:rsid w:val="00DD6C5B"/>
    <w:rsid w:val="00E02203"/>
    <w:rsid w:val="00E14DC2"/>
    <w:rsid w:val="00E24A80"/>
    <w:rsid w:val="00E46B02"/>
    <w:rsid w:val="00E65C40"/>
    <w:rsid w:val="00EC350D"/>
    <w:rsid w:val="00EE36CB"/>
    <w:rsid w:val="00F35960"/>
    <w:rsid w:val="00F40153"/>
    <w:rsid w:val="00F52FC0"/>
    <w:rsid w:val="00F8243A"/>
    <w:rsid w:val="00FB2820"/>
    <w:rsid w:val="00FF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 fillcolor="none [820]" stroke="f">
      <v:fill color="none [820]" opacity=".5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7A5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B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225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794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94F49"/>
  </w:style>
  <w:style w:type="paragraph" w:styleId="Pta">
    <w:name w:val="footer"/>
    <w:basedOn w:val="Normlny"/>
    <w:link w:val="PtaChar"/>
    <w:uiPriority w:val="99"/>
    <w:unhideWhenUsed/>
    <w:rsid w:val="00794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94F49"/>
  </w:style>
  <w:style w:type="paragraph" w:styleId="Bezriadkovania">
    <w:name w:val="No Spacing"/>
    <w:link w:val="BezriadkovaniaChar"/>
    <w:uiPriority w:val="1"/>
    <w:qFormat/>
    <w:rsid w:val="00BF2320"/>
    <w:pPr>
      <w:spacing w:after="0" w:line="240" w:lineRule="auto"/>
    </w:pPr>
    <w:rPr>
      <w:rFonts w:eastAsiaTheme="minorEastAsia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BF2320"/>
    <w:rPr>
      <w:rFonts w:eastAsiaTheme="minorEastAsia"/>
    </w:rPr>
  </w:style>
  <w:style w:type="table" w:styleId="Mriekatabuky">
    <w:name w:val="Table Grid"/>
    <w:basedOn w:val="Normlnatabuka"/>
    <w:uiPriority w:val="59"/>
    <w:rsid w:val="00256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text21">
    <w:name w:val="Základní text 21"/>
    <w:basedOn w:val="Normlny"/>
    <w:rsid w:val="002560AD"/>
    <w:pPr>
      <w:widowControl w:val="0"/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C8347A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6540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72037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7203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Pa2">
    <w:name w:val="Pa2"/>
    <w:basedOn w:val="Normlny"/>
    <w:next w:val="Normlny"/>
    <w:uiPriority w:val="99"/>
    <w:rsid w:val="0072037C"/>
    <w:pPr>
      <w:autoSpaceDE w:val="0"/>
      <w:autoSpaceDN w:val="0"/>
      <w:adjustRightInd w:val="0"/>
      <w:spacing w:after="0" w:line="681" w:lineRule="atLeast"/>
    </w:pPr>
    <w:rPr>
      <w:rFonts w:ascii="ITC Stone Sans Com Medium" w:hAnsi="ITC Stone Sans Com Medium"/>
      <w:sz w:val="24"/>
      <w:szCs w:val="24"/>
    </w:rPr>
  </w:style>
  <w:style w:type="character" w:customStyle="1" w:styleId="A6">
    <w:name w:val="A6"/>
    <w:uiPriority w:val="99"/>
    <w:rsid w:val="0072037C"/>
    <w:rPr>
      <w:rFonts w:cs="ITC Stone Sans Com Medium"/>
      <w:color w:val="000000"/>
      <w:sz w:val="18"/>
      <w:szCs w:val="18"/>
    </w:rPr>
  </w:style>
  <w:style w:type="paragraph" w:customStyle="1" w:styleId="Pa8">
    <w:name w:val="Pa8"/>
    <w:basedOn w:val="Normlny"/>
    <w:next w:val="Normlny"/>
    <w:uiPriority w:val="99"/>
    <w:rsid w:val="0072037C"/>
    <w:pPr>
      <w:autoSpaceDE w:val="0"/>
      <w:autoSpaceDN w:val="0"/>
      <w:adjustRightInd w:val="0"/>
      <w:spacing w:after="0" w:line="221" w:lineRule="atLeast"/>
    </w:pPr>
    <w:rPr>
      <w:rFonts w:ascii="ITC Stone Sans Com Medium" w:hAnsi="ITC Stone Sans Com Medium"/>
      <w:sz w:val="24"/>
      <w:szCs w:val="24"/>
    </w:rPr>
  </w:style>
  <w:style w:type="paragraph" w:customStyle="1" w:styleId="Liftcomp">
    <w:name w:val="Liftcomp"/>
    <w:basedOn w:val="Normlny"/>
    <w:uiPriority w:val="99"/>
    <w:rsid w:val="00B4072C"/>
    <w:pPr>
      <w:tabs>
        <w:tab w:val="left" w:pos="7724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SOŠOS Mladosť</dc:subject>
  <dc:creator>KP-2310-0125</dc:creator>
  <cp:lastModifiedBy>user</cp:lastModifiedBy>
  <cp:revision>2</cp:revision>
  <cp:lastPrinted>2023-11-21T14:30:00Z</cp:lastPrinted>
  <dcterms:created xsi:type="dcterms:W3CDTF">2023-11-21T14:32:00Z</dcterms:created>
  <dcterms:modified xsi:type="dcterms:W3CDTF">2023-11-21T14:32:00Z</dcterms:modified>
</cp:coreProperties>
</file>