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E46C3" w14:textId="77777777" w:rsidR="004E0F8D" w:rsidRPr="00D74E2A" w:rsidRDefault="004E0F8D" w:rsidP="004E0F8D">
      <w:pPr>
        <w:jc w:val="center"/>
        <w:rPr>
          <w:b/>
        </w:rPr>
      </w:pPr>
    </w:p>
    <w:p w14:paraId="7427B049" w14:textId="123D673E" w:rsidR="004E0F8D" w:rsidRPr="00D74E2A" w:rsidRDefault="004E0F8D" w:rsidP="004E0F8D">
      <w:pPr>
        <w:jc w:val="center"/>
        <w:rPr>
          <w:b/>
        </w:rPr>
      </w:pPr>
      <w:r w:rsidRPr="00D74E2A">
        <w:rPr>
          <w:b/>
        </w:rPr>
        <w:t xml:space="preserve">OPIS PREDMETU ZÁKAZKY </w:t>
      </w:r>
    </w:p>
    <w:p w14:paraId="434BA26F" w14:textId="77777777" w:rsidR="004E0F8D" w:rsidRPr="00D74E2A" w:rsidRDefault="004E0F8D" w:rsidP="00B53825">
      <w:pPr>
        <w:jc w:val="center"/>
        <w:rPr>
          <w:b/>
          <w:sz w:val="22"/>
          <w:szCs w:val="22"/>
        </w:rPr>
      </w:pPr>
    </w:p>
    <w:p w14:paraId="65E750D9" w14:textId="77777777" w:rsidR="00B53825" w:rsidRPr="00D74E2A" w:rsidRDefault="00B53825" w:rsidP="00B53825">
      <w:pPr>
        <w:rPr>
          <w:sz w:val="22"/>
          <w:szCs w:val="22"/>
        </w:rPr>
      </w:pPr>
    </w:p>
    <w:p w14:paraId="341A766B" w14:textId="63483920" w:rsidR="00B53825" w:rsidRPr="00D74E2A" w:rsidRDefault="00B53825" w:rsidP="00D74E2A">
      <w:pPr>
        <w:pStyle w:val="Odsekzoznamu"/>
        <w:numPr>
          <w:ilvl w:val="0"/>
          <w:numId w:val="52"/>
        </w:numPr>
        <w:jc w:val="both"/>
        <w:rPr>
          <w:sz w:val="22"/>
          <w:szCs w:val="22"/>
        </w:rPr>
      </w:pPr>
      <w:r w:rsidRPr="00D74E2A">
        <w:rPr>
          <w:b/>
          <w:sz w:val="22"/>
          <w:szCs w:val="22"/>
        </w:rPr>
        <w:t xml:space="preserve">Názov predmetu zákazky: </w:t>
      </w:r>
      <w:r w:rsidR="00D74E2A" w:rsidRPr="00D74E2A">
        <w:rPr>
          <w:sz w:val="22"/>
          <w:szCs w:val="22"/>
        </w:rPr>
        <w:t>Revízia kompresora</w:t>
      </w:r>
    </w:p>
    <w:p w14:paraId="338C4EDC" w14:textId="77777777" w:rsidR="00140FFB" w:rsidRPr="00D74E2A" w:rsidRDefault="00140FFB" w:rsidP="00BE7845">
      <w:pPr>
        <w:pStyle w:val="Odsekzoznamu"/>
        <w:jc w:val="both"/>
        <w:rPr>
          <w:sz w:val="22"/>
          <w:szCs w:val="22"/>
        </w:rPr>
      </w:pPr>
    </w:p>
    <w:p w14:paraId="5A06D7A6" w14:textId="42795184" w:rsidR="005A04D8" w:rsidRPr="00D74E2A" w:rsidRDefault="00B53825" w:rsidP="00BE7845">
      <w:pPr>
        <w:pStyle w:val="Odsekzoznamu"/>
        <w:jc w:val="both"/>
        <w:rPr>
          <w:sz w:val="22"/>
          <w:szCs w:val="22"/>
        </w:rPr>
      </w:pPr>
      <w:r w:rsidRPr="00D74E2A">
        <w:rPr>
          <w:sz w:val="22"/>
          <w:szCs w:val="22"/>
        </w:rPr>
        <w:t xml:space="preserve">Predmetom zákazky je obstaranie </w:t>
      </w:r>
      <w:r w:rsidR="00847C14" w:rsidRPr="00D74E2A">
        <w:rPr>
          <w:sz w:val="22"/>
          <w:szCs w:val="22"/>
        </w:rPr>
        <w:t xml:space="preserve">služby: </w:t>
      </w:r>
      <w:r w:rsidR="00D74E2A" w:rsidRPr="00D74E2A">
        <w:rPr>
          <w:b/>
          <w:sz w:val="22"/>
          <w:szCs w:val="22"/>
        </w:rPr>
        <w:t>Revízia kompresora</w:t>
      </w:r>
      <w:r w:rsidR="00131A0A" w:rsidRPr="00D74E2A">
        <w:rPr>
          <w:sz w:val="22"/>
          <w:szCs w:val="22"/>
          <w:lang w:bidi="sk-SK"/>
        </w:rPr>
        <w:t xml:space="preserve"> pre potreby útvarov </w:t>
      </w:r>
      <w:r w:rsidR="00140FFB" w:rsidRPr="00D74E2A">
        <w:rPr>
          <w:sz w:val="22"/>
          <w:szCs w:val="22"/>
          <w:lang w:bidi="sk-SK"/>
        </w:rPr>
        <w:t xml:space="preserve">v materiálnej pôsobnosti Centra podpory Bratislava </w:t>
      </w:r>
      <w:r w:rsidR="00131A0A" w:rsidRPr="00D74E2A">
        <w:rPr>
          <w:sz w:val="22"/>
          <w:szCs w:val="22"/>
        </w:rPr>
        <w:t>M</w:t>
      </w:r>
      <w:r w:rsidR="00140FFB" w:rsidRPr="00D74E2A">
        <w:rPr>
          <w:sz w:val="22"/>
          <w:szCs w:val="22"/>
        </w:rPr>
        <w:t xml:space="preserve">inisterstva vnútra </w:t>
      </w:r>
      <w:r w:rsidR="00131A0A" w:rsidRPr="00D74E2A">
        <w:rPr>
          <w:sz w:val="22"/>
          <w:szCs w:val="22"/>
        </w:rPr>
        <w:t>SR</w:t>
      </w:r>
      <w:r w:rsidR="00F34E4C" w:rsidRPr="00D74E2A">
        <w:rPr>
          <w:sz w:val="22"/>
          <w:szCs w:val="22"/>
        </w:rPr>
        <w:t>.</w:t>
      </w:r>
    </w:p>
    <w:p w14:paraId="09EBDF0D" w14:textId="081E6F39" w:rsidR="00B53825" w:rsidRPr="00D74E2A" w:rsidRDefault="00B53825" w:rsidP="00BE7845">
      <w:pPr>
        <w:pStyle w:val="Default"/>
        <w:jc w:val="both"/>
        <w:rPr>
          <w:color w:val="auto"/>
          <w:sz w:val="22"/>
          <w:szCs w:val="22"/>
        </w:rPr>
      </w:pPr>
    </w:p>
    <w:p w14:paraId="19AD97E0" w14:textId="389DCB6D" w:rsidR="00F57D22" w:rsidRPr="00D74E2A" w:rsidRDefault="00F57D22" w:rsidP="00BE7845">
      <w:pPr>
        <w:pStyle w:val="Default"/>
        <w:numPr>
          <w:ilvl w:val="0"/>
          <w:numId w:val="52"/>
        </w:numPr>
        <w:jc w:val="both"/>
        <w:rPr>
          <w:b/>
          <w:color w:val="auto"/>
          <w:sz w:val="22"/>
          <w:szCs w:val="22"/>
        </w:rPr>
      </w:pPr>
      <w:r w:rsidRPr="00D74E2A">
        <w:rPr>
          <w:b/>
          <w:color w:val="auto"/>
          <w:sz w:val="22"/>
          <w:szCs w:val="22"/>
        </w:rPr>
        <w:t>Hlavný kód CPV:</w:t>
      </w:r>
    </w:p>
    <w:p w14:paraId="21BF63D7" w14:textId="41F914BF" w:rsidR="00880EF2" w:rsidRPr="00D74E2A" w:rsidRDefault="00D74E2A" w:rsidP="00BE7845">
      <w:pPr>
        <w:pStyle w:val="Default"/>
        <w:ind w:left="720"/>
        <w:jc w:val="both"/>
        <w:rPr>
          <w:color w:val="auto"/>
          <w:sz w:val="22"/>
          <w:szCs w:val="22"/>
        </w:rPr>
      </w:pPr>
      <w:r w:rsidRPr="00D74E2A">
        <w:rPr>
          <w:color w:val="auto"/>
          <w:sz w:val="22"/>
          <w:szCs w:val="22"/>
        </w:rPr>
        <w:t>71700000-5 Kontrolné a meracie skúšky</w:t>
      </w:r>
    </w:p>
    <w:p w14:paraId="00D69D76" w14:textId="77777777" w:rsidR="00F57D22" w:rsidRPr="00D74E2A" w:rsidRDefault="00F57D22" w:rsidP="00BE7845">
      <w:pPr>
        <w:pStyle w:val="Default"/>
        <w:ind w:left="720"/>
        <w:jc w:val="both"/>
        <w:rPr>
          <w:color w:val="auto"/>
          <w:sz w:val="22"/>
          <w:szCs w:val="22"/>
        </w:rPr>
      </w:pPr>
    </w:p>
    <w:p w14:paraId="2A2FCB50" w14:textId="4F14EC09" w:rsidR="001E12CD" w:rsidRPr="00D74E2A" w:rsidRDefault="001E12CD" w:rsidP="00BE7845">
      <w:pPr>
        <w:pStyle w:val="Default"/>
        <w:numPr>
          <w:ilvl w:val="0"/>
          <w:numId w:val="52"/>
        </w:numPr>
        <w:jc w:val="both"/>
        <w:rPr>
          <w:b/>
          <w:color w:val="auto"/>
          <w:sz w:val="22"/>
          <w:szCs w:val="22"/>
        </w:rPr>
      </w:pPr>
      <w:r w:rsidRPr="00D74E2A">
        <w:rPr>
          <w:b/>
          <w:color w:val="auto"/>
          <w:sz w:val="22"/>
          <w:szCs w:val="22"/>
        </w:rPr>
        <w:t>Rozdelenie predmetu zákazky na časti:</w:t>
      </w:r>
    </w:p>
    <w:p w14:paraId="06978858" w14:textId="70AFEC69" w:rsidR="001E12CD" w:rsidRPr="00D74E2A" w:rsidRDefault="001E12CD" w:rsidP="00BE7845">
      <w:pPr>
        <w:pStyle w:val="Default"/>
        <w:ind w:left="720"/>
        <w:jc w:val="both"/>
        <w:rPr>
          <w:color w:val="auto"/>
          <w:sz w:val="22"/>
          <w:szCs w:val="22"/>
        </w:rPr>
      </w:pPr>
      <w:r w:rsidRPr="00D74E2A">
        <w:rPr>
          <w:color w:val="auto"/>
          <w:sz w:val="22"/>
          <w:szCs w:val="22"/>
        </w:rPr>
        <w:t>Požaduje sa predloženie ponuky na celý predmet zákazky, predmet zákazky nie je rozdelený na časti.</w:t>
      </w:r>
    </w:p>
    <w:p w14:paraId="280D5B80" w14:textId="77777777" w:rsidR="001E12CD" w:rsidRPr="00D74E2A" w:rsidRDefault="001E12CD" w:rsidP="00BE7845">
      <w:pPr>
        <w:pStyle w:val="Default"/>
        <w:ind w:left="720"/>
        <w:jc w:val="both"/>
        <w:rPr>
          <w:color w:val="auto"/>
          <w:sz w:val="22"/>
          <w:szCs w:val="22"/>
        </w:rPr>
      </w:pPr>
    </w:p>
    <w:p w14:paraId="6AD13A6C" w14:textId="65EB8F26" w:rsidR="00F57D22" w:rsidRPr="00D74E2A" w:rsidRDefault="00847C14" w:rsidP="00BE7845">
      <w:pPr>
        <w:pStyle w:val="Odsekzoznamu"/>
        <w:numPr>
          <w:ilvl w:val="0"/>
          <w:numId w:val="52"/>
        </w:numPr>
        <w:jc w:val="both"/>
        <w:rPr>
          <w:sz w:val="22"/>
          <w:szCs w:val="22"/>
        </w:rPr>
      </w:pPr>
      <w:r w:rsidRPr="00D74E2A">
        <w:rPr>
          <w:b/>
          <w:sz w:val="22"/>
          <w:szCs w:val="22"/>
        </w:rPr>
        <w:t>Termín splnenia zákazky</w:t>
      </w:r>
      <w:r w:rsidR="00F57D22" w:rsidRPr="00D74E2A">
        <w:rPr>
          <w:b/>
          <w:sz w:val="22"/>
          <w:szCs w:val="22"/>
        </w:rPr>
        <w:t>:</w:t>
      </w:r>
      <w:r w:rsidR="00F57D22" w:rsidRPr="00D74E2A">
        <w:rPr>
          <w:sz w:val="22"/>
          <w:szCs w:val="22"/>
        </w:rPr>
        <w:t xml:space="preserve"> </w:t>
      </w:r>
    </w:p>
    <w:p w14:paraId="5CEA2038" w14:textId="6C05A33D" w:rsidR="00F57D22" w:rsidRPr="00D74E2A" w:rsidRDefault="00847C14" w:rsidP="00BE7845">
      <w:pPr>
        <w:pStyle w:val="Default"/>
        <w:ind w:left="720"/>
        <w:jc w:val="both"/>
        <w:rPr>
          <w:color w:val="auto"/>
          <w:sz w:val="22"/>
          <w:szCs w:val="22"/>
        </w:rPr>
      </w:pPr>
      <w:r w:rsidRPr="00D74E2A">
        <w:rPr>
          <w:rFonts w:eastAsiaTheme="minorHAnsi"/>
          <w:color w:val="auto"/>
          <w:sz w:val="22"/>
          <w:shd w:val="clear" w:color="auto" w:fill="FFFFFF"/>
        </w:rPr>
        <w:t xml:space="preserve">Plnenie zákazky bude </w:t>
      </w:r>
      <w:r w:rsidR="00C91D87" w:rsidRPr="00D74E2A">
        <w:rPr>
          <w:rFonts w:eastAsiaTheme="minorHAnsi"/>
          <w:color w:val="auto"/>
          <w:sz w:val="22"/>
          <w:shd w:val="clear" w:color="auto" w:fill="FFFFFF"/>
        </w:rPr>
        <w:t xml:space="preserve">najneskôr </w:t>
      </w:r>
      <w:r w:rsidRPr="00D74E2A">
        <w:rPr>
          <w:rFonts w:eastAsiaTheme="minorHAnsi"/>
          <w:color w:val="auto"/>
          <w:sz w:val="22"/>
          <w:shd w:val="clear" w:color="auto" w:fill="FFFFFF"/>
        </w:rPr>
        <w:t>do konca kalendárneho roka 202</w:t>
      </w:r>
      <w:r w:rsidR="00A51B03" w:rsidRPr="00D74E2A">
        <w:rPr>
          <w:rFonts w:eastAsiaTheme="minorHAnsi"/>
          <w:color w:val="auto"/>
          <w:sz w:val="22"/>
          <w:shd w:val="clear" w:color="auto" w:fill="FFFFFF"/>
        </w:rPr>
        <w:t>4</w:t>
      </w:r>
      <w:r w:rsidRPr="00D74E2A">
        <w:rPr>
          <w:rFonts w:eastAsiaTheme="minorHAnsi"/>
          <w:color w:val="auto"/>
          <w:sz w:val="22"/>
          <w:shd w:val="clear" w:color="auto" w:fill="FFFFFF"/>
        </w:rPr>
        <w:t>.</w:t>
      </w:r>
    </w:p>
    <w:p w14:paraId="0BF39025" w14:textId="5B7D7B17" w:rsidR="00F57D22" w:rsidRPr="00D74E2A" w:rsidRDefault="00F57D22" w:rsidP="00BE7845">
      <w:pPr>
        <w:pStyle w:val="Odsekzoznamu"/>
        <w:ind w:left="0"/>
        <w:rPr>
          <w:rFonts w:eastAsiaTheme="minorHAnsi"/>
          <w:sz w:val="22"/>
          <w:shd w:val="clear" w:color="auto" w:fill="FFFFFF"/>
        </w:rPr>
      </w:pPr>
    </w:p>
    <w:p w14:paraId="7923150F" w14:textId="42E30308" w:rsidR="00B53825" w:rsidRPr="00D74E2A" w:rsidRDefault="00847C14" w:rsidP="00BE7845">
      <w:pPr>
        <w:pStyle w:val="Odsekzoznamu"/>
        <w:numPr>
          <w:ilvl w:val="0"/>
          <w:numId w:val="52"/>
        </w:numPr>
        <w:jc w:val="both"/>
        <w:rPr>
          <w:b/>
          <w:sz w:val="22"/>
          <w:szCs w:val="22"/>
        </w:rPr>
      </w:pPr>
      <w:r w:rsidRPr="00D74E2A">
        <w:rPr>
          <w:b/>
          <w:sz w:val="22"/>
          <w:szCs w:val="22"/>
        </w:rPr>
        <w:t>Hlavné miesto poskytovania služieb</w:t>
      </w:r>
      <w:r w:rsidR="00B53825" w:rsidRPr="00D74E2A">
        <w:rPr>
          <w:b/>
          <w:sz w:val="22"/>
          <w:szCs w:val="22"/>
        </w:rPr>
        <w:t xml:space="preserve">: </w:t>
      </w:r>
    </w:p>
    <w:p w14:paraId="3CB2A48D" w14:textId="118AB8A3" w:rsidR="00847C14" w:rsidRDefault="00D74E2A" w:rsidP="00BE7845">
      <w:pPr>
        <w:ind w:firstLine="709"/>
        <w:jc w:val="both"/>
        <w:rPr>
          <w:sz w:val="22"/>
          <w:szCs w:val="22"/>
        </w:rPr>
      </w:pPr>
      <w:r w:rsidRPr="00D74E2A">
        <w:rPr>
          <w:sz w:val="22"/>
          <w:szCs w:val="22"/>
        </w:rPr>
        <w:t>Objekty Ministerstva vnútra SR:</w:t>
      </w:r>
    </w:p>
    <w:p w14:paraId="11DA07FB" w14:textId="29154C5F" w:rsidR="00D74E2A" w:rsidRPr="00D74E2A" w:rsidRDefault="00D74E2A" w:rsidP="00BE7845">
      <w:pPr>
        <w:ind w:firstLine="709"/>
        <w:jc w:val="both"/>
        <w:rPr>
          <w:bCs/>
          <w:sz w:val="22"/>
          <w:szCs w:val="22"/>
        </w:rPr>
      </w:pPr>
      <w:r>
        <w:rPr>
          <w:bCs/>
          <w:sz w:val="22"/>
          <w:szCs w:val="22"/>
        </w:rPr>
        <w:tab/>
        <w:t>- 1 ks</w:t>
      </w:r>
      <w:r>
        <w:rPr>
          <w:bCs/>
          <w:sz w:val="22"/>
          <w:szCs w:val="22"/>
        </w:rPr>
        <w:tab/>
        <w:t>Záchranná brigáda HaZZ v Malackách, Továrenská 1, 901 01 Malacky</w:t>
      </w:r>
    </w:p>
    <w:p w14:paraId="5EC11CC0" w14:textId="77777777" w:rsidR="00380BE6" w:rsidRPr="00D74E2A" w:rsidRDefault="00380BE6" w:rsidP="00BE7845">
      <w:pPr>
        <w:ind w:left="709"/>
        <w:jc w:val="both"/>
        <w:rPr>
          <w:sz w:val="22"/>
          <w:szCs w:val="22"/>
        </w:rPr>
      </w:pPr>
    </w:p>
    <w:p w14:paraId="3A02E0A9" w14:textId="77777777" w:rsidR="004B3507" w:rsidRPr="00D74E2A" w:rsidRDefault="00B53825" w:rsidP="00BE7845">
      <w:pPr>
        <w:pStyle w:val="Odsekzoznamu"/>
        <w:numPr>
          <w:ilvl w:val="0"/>
          <w:numId w:val="52"/>
        </w:numPr>
        <w:jc w:val="both"/>
        <w:rPr>
          <w:sz w:val="22"/>
          <w:szCs w:val="22"/>
        </w:rPr>
      </w:pPr>
      <w:r w:rsidRPr="00D74E2A">
        <w:rPr>
          <w:b/>
          <w:sz w:val="22"/>
          <w:szCs w:val="22"/>
        </w:rPr>
        <w:t>Technická  špecifikácia</w:t>
      </w:r>
      <w:r w:rsidR="004B3507" w:rsidRPr="00D74E2A">
        <w:rPr>
          <w:b/>
          <w:sz w:val="22"/>
          <w:szCs w:val="22"/>
        </w:rPr>
        <w:t xml:space="preserve"> / opis</w:t>
      </w:r>
      <w:r w:rsidRPr="00D74E2A">
        <w:rPr>
          <w:b/>
          <w:sz w:val="22"/>
          <w:szCs w:val="22"/>
        </w:rPr>
        <w:t xml:space="preserve"> predmetu zákazky:</w:t>
      </w:r>
    </w:p>
    <w:p w14:paraId="00637AF4" w14:textId="77777777" w:rsidR="000600EA" w:rsidRDefault="00E11DC5" w:rsidP="00BE7845">
      <w:pPr>
        <w:ind w:left="720"/>
        <w:contextualSpacing/>
        <w:jc w:val="both"/>
        <w:rPr>
          <w:sz w:val="22"/>
          <w:szCs w:val="22"/>
        </w:rPr>
      </w:pPr>
      <w:r w:rsidRPr="00E11DC5">
        <w:rPr>
          <w:sz w:val="22"/>
          <w:szCs w:val="22"/>
        </w:rPr>
        <w:t xml:space="preserve">Predmetom zákazky je obstaranie </w:t>
      </w:r>
      <w:r>
        <w:rPr>
          <w:sz w:val="22"/>
          <w:szCs w:val="22"/>
        </w:rPr>
        <w:t>r</w:t>
      </w:r>
      <w:r w:rsidRPr="00E11DC5">
        <w:rPr>
          <w:sz w:val="22"/>
          <w:szCs w:val="22"/>
        </w:rPr>
        <w:t>evízi</w:t>
      </w:r>
      <w:r>
        <w:rPr>
          <w:sz w:val="22"/>
          <w:szCs w:val="22"/>
        </w:rPr>
        <w:t>e</w:t>
      </w:r>
      <w:r w:rsidRPr="00E11DC5">
        <w:rPr>
          <w:sz w:val="22"/>
          <w:szCs w:val="22"/>
        </w:rPr>
        <w:t xml:space="preserve"> kompresora</w:t>
      </w:r>
      <w:r w:rsidR="000600EA">
        <w:rPr>
          <w:sz w:val="22"/>
          <w:szCs w:val="22"/>
        </w:rPr>
        <w:t>:</w:t>
      </w:r>
    </w:p>
    <w:p w14:paraId="6FE16C0B" w14:textId="7B4758CB" w:rsidR="00DE3626" w:rsidRDefault="00DE3626" w:rsidP="00DE3626">
      <w:pPr>
        <w:ind w:firstLine="709"/>
        <w:contextualSpacing/>
        <w:jc w:val="both"/>
        <w:rPr>
          <w:sz w:val="22"/>
          <w:szCs w:val="22"/>
        </w:rPr>
      </w:pPr>
      <w:r w:rsidRPr="00DE3626">
        <w:rPr>
          <w:sz w:val="22"/>
          <w:szCs w:val="22"/>
          <w:u w:val="single"/>
        </w:rPr>
        <w:t>Elektrika:</w:t>
      </w:r>
      <w:r>
        <w:rPr>
          <w:sz w:val="22"/>
          <w:szCs w:val="22"/>
        </w:rPr>
        <w:t xml:space="preserve"> </w:t>
      </w:r>
    </w:p>
    <w:p w14:paraId="4F3965AD" w14:textId="3B16AC6C" w:rsidR="00DE3626" w:rsidRDefault="00DE3626" w:rsidP="00DE3626">
      <w:pPr>
        <w:ind w:firstLine="709"/>
        <w:contextualSpacing/>
        <w:jc w:val="both"/>
        <w:rPr>
          <w:sz w:val="22"/>
          <w:szCs w:val="22"/>
        </w:rPr>
      </w:pPr>
      <w:r w:rsidRPr="00DE3626">
        <w:rPr>
          <w:sz w:val="22"/>
          <w:szCs w:val="22"/>
        </w:rPr>
        <w:t>KOVENTA, podnik místniho průmyslu, Česká Třebová</w:t>
      </w:r>
      <w:r>
        <w:rPr>
          <w:sz w:val="22"/>
          <w:szCs w:val="22"/>
        </w:rPr>
        <w:t xml:space="preserve">, </w:t>
      </w:r>
      <w:r w:rsidRPr="00DE3626">
        <w:rPr>
          <w:sz w:val="22"/>
          <w:szCs w:val="22"/>
        </w:rPr>
        <w:t>rok v.: 1982, Typ OR 13</w:t>
      </w:r>
    </w:p>
    <w:p w14:paraId="3FF3883E" w14:textId="77777777" w:rsidR="00DE3626" w:rsidRDefault="00DE3626" w:rsidP="00DE3626">
      <w:pPr>
        <w:ind w:left="709"/>
        <w:contextualSpacing/>
        <w:jc w:val="both"/>
        <w:rPr>
          <w:sz w:val="22"/>
          <w:szCs w:val="22"/>
        </w:rPr>
      </w:pPr>
      <w:r w:rsidRPr="00DE3626">
        <w:rPr>
          <w:sz w:val="22"/>
          <w:szCs w:val="22"/>
          <w:u w:val="single"/>
        </w:rPr>
        <w:t>Motor:</w:t>
      </w:r>
      <w:r w:rsidRPr="00DE3626">
        <w:rPr>
          <w:sz w:val="22"/>
          <w:szCs w:val="22"/>
        </w:rPr>
        <w:t xml:space="preserve"> </w:t>
      </w:r>
    </w:p>
    <w:p w14:paraId="7CF2B53B" w14:textId="67A4FFBB" w:rsidR="00DE3626" w:rsidRPr="00DE3626" w:rsidRDefault="00DE3626" w:rsidP="00DE3626">
      <w:pPr>
        <w:ind w:left="709"/>
        <w:contextualSpacing/>
        <w:jc w:val="both"/>
        <w:rPr>
          <w:sz w:val="22"/>
          <w:szCs w:val="22"/>
        </w:rPr>
      </w:pPr>
      <w:r w:rsidRPr="00DE3626">
        <w:rPr>
          <w:sz w:val="22"/>
          <w:szCs w:val="22"/>
        </w:rPr>
        <w:t>VKDI ORLÍK Čes. Třebová, typ: 2JSK-75</w:t>
      </w:r>
      <w:r>
        <w:rPr>
          <w:sz w:val="22"/>
          <w:szCs w:val="22"/>
        </w:rPr>
        <w:t xml:space="preserve">, </w:t>
      </w:r>
      <w:r w:rsidRPr="00DE3626">
        <w:rPr>
          <w:sz w:val="22"/>
          <w:szCs w:val="22"/>
        </w:rPr>
        <w:t>rok v.: 1983, výkonnosť: 50 m3h1, vzdušina: vzduch, príkon 7,5 kW</w:t>
      </w:r>
    </w:p>
    <w:p w14:paraId="6FBA2B5D" w14:textId="0EAB105B" w:rsidR="0088747E" w:rsidRPr="00DE3626" w:rsidRDefault="00DE3626" w:rsidP="00BE7845">
      <w:pPr>
        <w:ind w:left="720"/>
        <w:contextualSpacing/>
        <w:jc w:val="both"/>
        <w:rPr>
          <w:sz w:val="22"/>
          <w:szCs w:val="22"/>
          <w:u w:val="single"/>
        </w:rPr>
      </w:pPr>
      <w:r w:rsidRPr="00DE3626">
        <w:rPr>
          <w:sz w:val="22"/>
          <w:szCs w:val="22"/>
          <w:u w:val="single"/>
        </w:rPr>
        <w:t>Zásobník vzduchu:</w:t>
      </w:r>
    </w:p>
    <w:p w14:paraId="316C32D1" w14:textId="2C8BFE47" w:rsidR="00DE3626" w:rsidRDefault="00DE3626" w:rsidP="00BE7845">
      <w:pPr>
        <w:ind w:left="720"/>
        <w:contextualSpacing/>
        <w:jc w:val="both"/>
        <w:rPr>
          <w:sz w:val="22"/>
          <w:szCs w:val="22"/>
        </w:rPr>
      </w:pPr>
      <w:r w:rsidRPr="00DE3626">
        <w:rPr>
          <w:sz w:val="22"/>
          <w:szCs w:val="22"/>
        </w:rPr>
        <w:t>OS Čelakovice závod – AŠ</w:t>
      </w:r>
      <w:r>
        <w:rPr>
          <w:sz w:val="22"/>
          <w:szCs w:val="22"/>
        </w:rPr>
        <w:t xml:space="preserve">, </w:t>
      </w:r>
      <w:r w:rsidRPr="00DE3626">
        <w:rPr>
          <w:sz w:val="22"/>
          <w:szCs w:val="22"/>
        </w:rPr>
        <w:t>rok v.: 1983, najvyšší pracovný pretlak: 1,1MPa, najvyššia pracovná teplota: 100 °C, objem: 300 litrov</w:t>
      </w:r>
    </w:p>
    <w:p w14:paraId="1A9A659C" w14:textId="77777777" w:rsidR="00DE3626" w:rsidRDefault="00DE3626" w:rsidP="00BE7845">
      <w:pPr>
        <w:ind w:left="720"/>
        <w:contextualSpacing/>
        <w:jc w:val="both"/>
        <w:rPr>
          <w:sz w:val="22"/>
          <w:szCs w:val="22"/>
        </w:rPr>
      </w:pPr>
    </w:p>
    <w:p w14:paraId="4CA4D400" w14:textId="771C7AA8" w:rsidR="002A0DFC" w:rsidRDefault="002A0DFC" w:rsidP="00BE7845">
      <w:pPr>
        <w:ind w:left="720"/>
        <w:contextualSpacing/>
        <w:jc w:val="both"/>
        <w:rPr>
          <w:sz w:val="22"/>
          <w:szCs w:val="22"/>
        </w:rPr>
      </w:pPr>
      <w:r w:rsidRPr="002A0DFC">
        <w:rPr>
          <w:sz w:val="22"/>
          <w:szCs w:val="22"/>
        </w:rPr>
        <w:t>V prípade, že zariadenie n</w:t>
      </w:r>
      <w:r w:rsidR="00834429">
        <w:rPr>
          <w:sz w:val="22"/>
          <w:szCs w:val="22"/>
        </w:rPr>
        <w:t xml:space="preserve">ebude schopné ďalšej prevádzky </w:t>
      </w:r>
      <w:r w:rsidRPr="002A0DFC">
        <w:rPr>
          <w:sz w:val="22"/>
          <w:szCs w:val="22"/>
        </w:rPr>
        <w:t xml:space="preserve">požadujeme vystavenie potvrdenia </w:t>
      </w:r>
      <w:r w:rsidR="00834429">
        <w:rPr>
          <w:sz w:val="22"/>
          <w:szCs w:val="22"/>
        </w:rPr>
        <w:br/>
      </w:r>
      <w:r w:rsidRPr="002A0DFC">
        <w:rPr>
          <w:sz w:val="22"/>
          <w:szCs w:val="22"/>
        </w:rPr>
        <w:t xml:space="preserve">o skutočnom stave techniky </w:t>
      </w:r>
      <w:r w:rsidR="00834429">
        <w:rPr>
          <w:sz w:val="22"/>
          <w:szCs w:val="22"/>
        </w:rPr>
        <w:t>– technického posudku.</w:t>
      </w:r>
    </w:p>
    <w:p w14:paraId="07F9D291" w14:textId="77777777" w:rsidR="002A0DFC" w:rsidRPr="00D74E2A" w:rsidRDefault="002A0DFC" w:rsidP="00BE7845">
      <w:pPr>
        <w:ind w:left="720"/>
        <w:contextualSpacing/>
        <w:jc w:val="both"/>
        <w:rPr>
          <w:sz w:val="22"/>
          <w:szCs w:val="22"/>
        </w:rPr>
      </w:pPr>
    </w:p>
    <w:p w14:paraId="75C72648" w14:textId="746BDCA6" w:rsidR="00F34E4C" w:rsidRPr="00D74E2A" w:rsidRDefault="00F34E4C" w:rsidP="00BE7845">
      <w:pPr>
        <w:ind w:left="720"/>
        <w:contextualSpacing/>
        <w:jc w:val="both"/>
        <w:rPr>
          <w:sz w:val="22"/>
          <w:szCs w:val="22"/>
        </w:rPr>
      </w:pPr>
      <w:r w:rsidRPr="00D74E2A">
        <w:rPr>
          <w:sz w:val="22"/>
          <w:szCs w:val="22"/>
        </w:rPr>
        <w:t xml:space="preserve">V cene </w:t>
      </w:r>
      <w:r w:rsidR="00834429" w:rsidRPr="00834429">
        <w:rPr>
          <w:sz w:val="22"/>
          <w:szCs w:val="22"/>
        </w:rPr>
        <w:t>odbornej skúšky a prehliadky</w:t>
      </w:r>
      <w:r w:rsidRPr="00D74E2A">
        <w:rPr>
          <w:sz w:val="22"/>
          <w:szCs w:val="22"/>
        </w:rPr>
        <w:t xml:space="preserve"> musia byť zahrnuté všetky náklady, ktoré sú spojené </w:t>
      </w:r>
      <w:r w:rsidR="00834429">
        <w:rPr>
          <w:sz w:val="22"/>
          <w:szCs w:val="22"/>
        </w:rPr>
        <w:br/>
      </w:r>
      <w:r w:rsidRPr="00D74E2A">
        <w:rPr>
          <w:sz w:val="22"/>
          <w:szCs w:val="22"/>
        </w:rPr>
        <w:t>s plnením zákazy - priame i nepriame náklady na predmet zákazky, vrátane dopravy do miesta poskytnutia služby (uvedené v bode 5. Opisu predmetu zákazky).</w:t>
      </w:r>
    </w:p>
    <w:p w14:paraId="6C0F0545" w14:textId="77777777" w:rsidR="00834429" w:rsidRDefault="00834429" w:rsidP="00BE7845">
      <w:pPr>
        <w:ind w:left="720"/>
        <w:contextualSpacing/>
        <w:jc w:val="both"/>
        <w:rPr>
          <w:sz w:val="22"/>
          <w:szCs w:val="22"/>
        </w:rPr>
      </w:pPr>
    </w:p>
    <w:p w14:paraId="3760364B" w14:textId="2E2397AA" w:rsidR="0088747E" w:rsidRPr="00D74E2A" w:rsidRDefault="00834429" w:rsidP="00BE7845">
      <w:pPr>
        <w:ind w:left="720"/>
        <w:contextualSpacing/>
        <w:jc w:val="both"/>
        <w:rPr>
          <w:sz w:val="22"/>
          <w:szCs w:val="22"/>
        </w:rPr>
      </w:pPr>
      <w:r>
        <w:rPr>
          <w:sz w:val="22"/>
          <w:szCs w:val="22"/>
        </w:rPr>
        <w:t>Revízia zariadenia</w:t>
      </w:r>
      <w:r w:rsidR="0088747E" w:rsidRPr="00D74E2A">
        <w:rPr>
          <w:sz w:val="22"/>
          <w:szCs w:val="22"/>
        </w:rPr>
        <w:t xml:space="preserve"> sa bude vykonávať na základe vystavenej objednávky.</w:t>
      </w:r>
    </w:p>
    <w:p w14:paraId="010F9CF6" w14:textId="77777777" w:rsidR="0088747E" w:rsidRPr="00D74E2A" w:rsidRDefault="0088747E" w:rsidP="00BE7845">
      <w:pPr>
        <w:ind w:left="720"/>
        <w:contextualSpacing/>
        <w:jc w:val="both"/>
        <w:rPr>
          <w:sz w:val="22"/>
          <w:szCs w:val="22"/>
          <w:u w:val="single"/>
        </w:rPr>
      </w:pPr>
    </w:p>
    <w:p w14:paraId="4F05484E" w14:textId="77777777" w:rsidR="0088747E" w:rsidRPr="00D74E2A" w:rsidRDefault="0088747E" w:rsidP="00BE7845">
      <w:pPr>
        <w:ind w:left="720"/>
        <w:contextualSpacing/>
        <w:jc w:val="both"/>
        <w:rPr>
          <w:sz w:val="22"/>
          <w:szCs w:val="22"/>
          <w:u w:val="single"/>
        </w:rPr>
      </w:pPr>
      <w:r w:rsidRPr="00D74E2A">
        <w:rPr>
          <w:sz w:val="22"/>
          <w:szCs w:val="22"/>
          <w:u w:val="single"/>
        </w:rPr>
        <w:t>Predpokladané množstvo predmetu zákazky</w:t>
      </w:r>
    </w:p>
    <w:p w14:paraId="18B3C85C" w14:textId="77777777" w:rsidR="0088747E" w:rsidRPr="00D74E2A" w:rsidRDefault="0088747E" w:rsidP="00BE7845">
      <w:pPr>
        <w:tabs>
          <w:tab w:val="left" w:pos="2520"/>
        </w:tabs>
        <w:jc w:val="both"/>
        <w:rPr>
          <w:noProof w:val="0"/>
          <w:sz w:val="22"/>
          <w:szCs w:val="18"/>
          <w:u w:val="single"/>
          <w:lang w:eastAsia="en-GB"/>
        </w:rPr>
      </w:pPr>
    </w:p>
    <w:tbl>
      <w:tblPr>
        <w:tblStyle w:val="Mriekatabuky7"/>
        <w:tblW w:w="0" w:type="auto"/>
        <w:jc w:val="center"/>
        <w:tblLook w:val="04A0" w:firstRow="1" w:lastRow="0" w:firstColumn="1" w:lastColumn="0" w:noHBand="0" w:noVBand="1"/>
      </w:tblPr>
      <w:tblGrid>
        <w:gridCol w:w="577"/>
        <w:gridCol w:w="4922"/>
        <w:gridCol w:w="2345"/>
      </w:tblGrid>
      <w:tr w:rsidR="00905EB2" w:rsidRPr="00D74E2A" w14:paraId="6685086D" w14:textId="77777777" w:rsidTr="00C35EDC">
        <w:trPr>
          <w:trHeight w:val="329"/>
          <w:jc w:val="center"/>
        </w:trPr>
        <w:tc>
          <w:tcPr>
            <w:tcW w:w="415" w:type="dxa"/>
            <w:tcBorders>
              <w:top w:val="single" w:sz="12" w:space="0" w:color="auto"/>
              <w:left w:val="single" w:sz="12" w:space="0" w:color="auto"/>
              <w:bottom w:val="double" w:sz="4" w:space="0" w:color="auto"/>
            </w:tcBorders>
            <w:shd w:val="clear" w:color="auto" w:fill="D9D9D9" w:themeFill="background1" w:themeFillShade="D9"/>
            <w:vAlign w:val="center"/>
          </w:tcPr>
          <w:p w14:paraId="441A1F34" w14:textId="77777777" w:rsidR="0088747E" w:rsidRPr="00D74E2A" w:rsidRDefault="0088747E" w:rsidP="00BE7845">
            <w:pPr>
              <w:jc w:val="both"/>
              <w:rPr>
                <w:bCs/>
                <w:noProof w:val="0"/>
                <w:sz w:val="22"/>
                <w:szCs w:val="20"/>
              </w:rPr>
            </w:pPr>
            <w:r w:rsidRPr="00D74E2A">
              <w:rPr>
                <w:bCs/>
                <w:noProof w:val="0"/>
                <w:sz w:val="22"/>
                <w:szCs w:val="20"/>
              </w:rPr>
              <w:t>Por. č.</w:t>
            </w:r>
          </w:p>
        </w:tc>
        <w:tc>
          <w:tcPr>
            <w:tcW w:w="4922" w:type="dxa"/>
            <w:tcBorders>
              <w:top w:val="single" w:sz="12" w:space="0" w:color="auto"/>
              <w:bottom w:val="double" w:sz="4" w:space="0" w:color="auto"/>
            </w:tcBorders>
            <w:shd w:val="clear" w:color="auto" w:fill="D9D9D9" w:themeFill="background1" w:themeFillShade="D9"/>
            <w:vAlign w:val="center"/>
          </w:tcPr>
          <w:p w14:paraId="392BE70E" w14:textId="77777777" w:rsidR="0088747E" w:rsidRPr="00D74E2A" w:rsidRDefault="0088747E" w:rsidP="00BE7845">
            <w:pPr>
              <w:jc w:val="both"/>
              <w:rPr>
                <w:bCs/>
                <w:noProof w:val="0"/>
                <w:sz w:val="22"/>
                <w:szCs w:val="20"/>
              </w:rPr>
            </w:pPr>
            <w:r w:rsidRPr="00D74E2A">
              <w:rPr>
                <w:bCs/>
                <w:noProof w:val="0"/>
                <w:sz w:val="22"/>
                <w:szCs w:val="20"/>
              </w:rPr>
              <w:t>Názov tovaru/služby</w:t>
            </w:r>
          </w:p>
        </w:tc>
        <w:tc>
          <w:tcPr>
            <w:tcW w:w="2345" w:type="dxa"/>
            <w:tcBorders>
              <w:top w:val="single" w:sz="12" w:space="0" w:color="auto"/>
              <w:bottom w:val="double" w:sz="4" w:space="0" w:color="auto"/>
              <w:right w:val="single" w:sz="12" w:space="0" w:color="auto"/>
            </w:tcBorders>
            <w:shd w:val="clear" w:color="auto" w:fill="D9D9D9" w:themeFill="background1" w:themeFillShade="D9"/>
            <w:vAlign w:val="center"/>
          </w:tcPr>
          <w:p w14:paraId="644BE3C4" w14:textId="77777777" w:rsidR="0088747E" w:rsidRPr="00D74E2A" w:rsidRDefault="0088747E" w:rsidP="00BE7845">
            <w:pPr>
              <w:jc w:val="both"/>
              <w:rPr>
                <w:bCs/>
                <w:noProof w:val="0"/>
                <w:sz w:val="22"/>
                <w:szCs w:val="20"/>
              </w:rPr>
            </w:pPr>
            <w:r w:rsidRPr="00D74E2A">
              <w:rPr>
                <w:bCs/>
                <w:noProof w:val="0"/>
                <w:sz w:val="22"/>
                <w:szCs w:val="20"/>
              </w:rPr>
              <w:t xml:space="preserve">Predpoklad. množstvo </w:t>
            </w:r>
          </w:p>
          <w:p w14:paraId="4E6DD4AE" w14:textId="582BDEF7" w:rsidR="0088747E" w:rsidRPr="00D74E2A" w:rsidRDefault="002A0DFC" w:rsidP="00BE7845">
            <w:pPr>
              <w:jc w:val="both"/>
              <w:rPr>
                <w:bCs/>
                <w:noProof w:val="0"/>
                <w:sz w:val="22"/>
                <w:szCs w:val="20"/>
              </w:rPr>
            </w:pPr>
            <w:r>
              <w:rPr>
                <w:bCs/>
                <w:noProof w:val="0"/>
                <w:sz w:val="22"/>
                <w:szCs w:val="20"/>
              </w:rPr>
              <w:t>(ks)</w:t>
            </w:r>
          </w:p>
        </w:tc>
      </w:tr>
      <w:tr w:rsidR="00905EB2" w:rsidRPr="00D74E2A" w14:paraId="43FFD070" w14:textId="77777777" w:rsidTr="00C35EDC">
        <w:trPr>
          <w:trHeight w:hRule="exact" w:val="341"/>
          <w:jc w:val="center"/>
        </w:trPr>
        <w:tc>
          <w:tcPr>
            <w:tcW w:w="415" w:type="dxa"/>
            <w:tcBorders>
              <w:left w:val="single" w:sz="12" w:space="0" w:color="auto"/>
              <w:bottom w:val="single" w:sz="12" w:space="0" w:color="auto"/>
            </w:tcBorders>
            <w:vAlign w:val="center"/>
          </w:tcPr>
          <w:p w14:paraId="18A1290C" w14:textId="77777777" w:rsidR="0088747E" w:rsidRPr="00D74E2A" w:rsidRDefault="0088747E" w:rsidP="00BE7845">
            <w:pPr>
              <w:jc w:val="both"/>
              <w:rPr>
                <w:noProof w:val="0"/>
                <w:sz w:val="22"/>
                <w:szCs w:val="20"/>
              </w:rPr>
            </w:pPr>
            <w:r w:rsidRPr="00D74E2A">
              <w:rPr>
                <w:noProof w:val="0"/>
                <w:sz w:val="22"/>
                <w:szCs w:val="20"/>
              </w:rPr>
              <w:t>1.</w:t>
            </w:r>
          </w:p>
        </w:tc>
        <w:tc>
          <w:tcPr>
            <w:tcW w:w="4922" w:type="dxa"/>
            <w:tcBorders>
              <w:bottom w:val="single" w:sz="12" w:space="0" w:color="auto"/>
            </w:tcBorders>
            <w:vAlign w:val="center"/>
          </w:tcPr>
          <w:p w14:paraId="79B076F7" w14:textId="3C056E78" w:rsidR="0088747E" w:rsidRPr="00D74E2A" w:rsidRDefault="002A0DFC" w:rsidP="00BE7845">
            <w:pPr>
              <w:jc w:val="both"/>
              <w:rPr>
                <w:noProof w:val="0"/>
                <w:sz w:val="22"/>
                <w:szCs w:val="20"/>
              </w:rPr>
            </w:pPr>
            <w:r>
              <w:rPr>
                <w:noProof w:val="0"/>
                <w:sz w:val="22"/>
                <w:szCs w:val="20"/>
              </w:rPr>
              <w:t>Revízia ko</w:t>
            </w:r>
            <w:r w:rsidR="00834429">
              <w:rPr>
                <w:noProof w:val="0"/>
                <w:sz w:val="22"/>
                <w:szCs w:val="20"/>
              </w:rPr>
              <w:t>m</w:t>
            </w:r>
            <w:r>
              <w:rPr>
                <w:noProof w:val="0"/>
                <w:sz w:val="22"/>
                <w:szCs w:val="20"/>
              </w:rPr>
              <w:t>presora</w:t>
            </w:r>
            <w:r w:rsidR="0088747E" w:rsidRPr="00D74E2A">
              <w:rPr>
                <w:noProof w:val="0"/>
                <w:sz w:val="22"/>
                <w:szCs w:val="20"/>
              </w:rPr>
              <w:t xml:space="preserve"> </w:t>
            </w:r>
          </w:p>
        </w:tc>
        <w:tc>
          <w:tcPr>
            <w:tcW w:w="2345" w:type="dxa"/>
            <w:tcBorders>
              <w:bottom w:val="single" w:sz="12" w:space="0" w:color="auto"/>
              <w:right w:val="single" w:sz="12" w:space="0" w:color="auto"/>
            </w:tcBorders>
            <w:vAlign w:val="center"/>
          </w:tcPr>
          <w:p w14:paraId="01D0D81F" w14:textId="62CE0543" w:rsidR="0088747E" w:rsidRPr="00D74E2A" w:rsidRDefault="002A0DFC" w:rsidP="00BE7845">
            <w:pPr>
              <w:jc w:val="both"/>
              <w:rPr>
                <w:noProof w:val="0"/>
                <w:sz w:val="22"/>
                <w:szCs w:val="20"/>
              </w:rPr>
            </w:pPr>
            <w:r>
              <w:rPr>
                <w:noProof w:val="0"/>
                <w:sz w:val="22"/>
                <w:szCs w:val="20"/>
              </w:rPr>
              <w:t>1</w:t>
            </w:r>
          </w:p>
        </w:tc>
      </w:tr>
    </w:tbl>
    <w:p w14:paraId="47EC34DA" w14:textId="77777777" w:rsidR="0088747E" w:rsidRPr="00D74E2A" w:rsidRDefault="0088747E" w:rsidP="00BE7845">
      <w:pPr>
        <w:ind w:left="720"/>
        <w:contextualSpacing/>
        <w:jc w:val="both"/>
        <w:rPr>
          <w:sz w:val="22"/>
          <w:szCs w:val="22"/>
        </w:rPr>
      </w:pPr>
    </w:p>
    <w:p w14:paraId="76F0F2AD" w14:textId="77777777" w:rsidR="00F34E4C" w:rsidRPr="00D74E2A" w:rsidRDefault="00F34E4C" w:rsidP="00BE7845">
      <w:pPr>
        <w:pStyle w:val="Odsekzoznamu"/>
        <w:jc w:val="both"/>
        <w:rPr>
          <w:sz w:val="22"/>
          <w:szCs w:val="22"/>
        </w:rPr>
      </w:pPr>
    </w:p>
    <w:p w14:paraId="22C09569" w14:textId="08D0F632" w:rsidR="0088747E" w:rsidRPr="00D74E2A" w:rsidRDefault="00C80A37" w:rsidP="00BE7845">
      <w:pPr>
        <w:pStyle w:val="Odsekzoznamu"/>
        <w:numPr>
          <w:ilvl w:val="0"/>
          <w:numId w:val="52"/>
        </w:numPr>
        <w:jc w:val="both"/>
        <w:rPr>
          <w:b/>
          <w:sz w:val="22"/>
          <w:szCs w:val="22"/>
        </w:rPr>
      </w:pPr>
      <w:r w:rsidRPr="00D74E2A">
        <w:rPr>
          <w:b/>
          <w:sz w:val="22"/>
          <w:szCs w:val="22"/>
        </w:rPr>
        <w:t>Podmienky týkajúce sa zmluvy</w:t>
      </w:r>
    </w:p>
    <w:p w14:paraId="0300BFB8" w14:textId="533D6C99" w:rsidR="00C80A37" w:rsidRPr="00D74E2A" w:rsidRDefault="00C80A37" w:rsidP="00BE7845">
      <w:pPr>
        <w:pStyle w:val="Odsekzoznamu"/>
        <w:jc w:val="both"/>
        <w:rPr>
          <w:sz w:val="22"/>
          <w:szCs w:val="22"/>
        </w:rPr>
      </w:pPr>
      <w:r w:rsidRPr="00D74E2A">
        <w:rPr>
          <w:sz w:val="22"/>
          <w:szCs w:val="22"/>
        </w:rPr>
        <w:t>Výsledkom verejného obstarávania bud</w:t>
      </w:r>
      <w:r w:rsidR="00834429">
        <w:rPr>
          <w:sz w:val="22"/>
          <w:szCs w:val="22"/>
        </w:rPr>
        <w:t>e</w:t>
      </w:r>
      <w:r w:rsidRPr="00D74E2A">
        <w:rPr>
          <w:sz w:val="22"/>
          <w:szCs w:val="22"/>
        </w:rPr>
        <w:t xml:space="preserve"> objednávk</w:t>
      </w:r>
      <w:r w:rsidR="00834429">
        <w:rPr>
          <w:sz w:val="22"/>
          <w:szCs w:val="22"/>
        </w:rPr>
        <w:t>a</w:t>
      </w:r>
      <w:r w:rsidRPr="00D74E2A">
        <w:rPr>
          <w:sz w:val="22"/>
          <w:szCs w:val="22"/>
        </w:rPr>
        <w:t xml:space="preserve"> na dodanie požadovaného predmetu zákazky. Verejný obstarávateľ nie je povinný zakúpiť predpokladané množstvo tovaru/služby. Cena dodaného tovaru/služieb bude fakturovaná v súlade s cenami uvedenými v predloženej cenovej ponuke a to počas celého obdobia trvania zákazky. </w:t>
      </w:r>
    </w:p>
    <w:p w14:paraId="4EC799F5" w14:textId="77777777" w:rsidR="00C80A37" w:rsidRPr="00D74E2A" w:rsidRDefault="00C80A37" w:rsidP="00BE7845">
      <w:pPr>
        <w:pStyle w:val="Odsekzoznamu"/>
        <w:jc w:val="both"/>
        <w:rPr>
          <w:sz w:val="22"/>
          <w:szCs w:val="22"/>
        </w:rPr>
      </w:pPr>
    </w:p>
    <w:p w14:paraId="5A6A3AF9" w14:textId="77777777" w:rsidR="00C80A37" w:rsidRPr="00D74E2A" w:rsidRDefault="00C80A37" w:rsidP="00BE7845">
      <w:pPr>
        <w:pStyle w:val="Odsekzoznamu"/>
        <w:jc w:val="both"/>
        <w:rPr>
          <w:sz w:val="22"/>
          <w:szCs w:val="22"/>
        </w:rPr>
      </w:pPr>
      <w:r w:rsidRPr="00D74E2A">
        <w:rPr>
          <w:sz w:val="22"/>
          <w:szCs w:val="22"/>
        </w:rPr>
        <w:lastRenderedPageBreak/>
        <w:t>Preddavok ani zálohová platba sa neposkytuje.</w:t>
      </w:r>
    </w:p>
    <w:p w14:paraId="006CA33D" w14:textId="386553AD" w:rsidR="00C80A37" w:rsidRPr="00D74E2A" w:rsidRDefault="00C80A37" w:rsidP="00BE7845">
      <w:pPr>
        <w:pStyle w:val="Odsekzoznamu"/>
        <w:jc w:val="both"/>
        <w:rPr>
          <w:sz w:val="22"/>
          <w:szCs w:val="22"/>
        </w:rPr>
      </w:pPr>
      <w:r w:rsidRPr="00D74E2A">
        <w:rPr>
          <w:sz w:val="22"/>
          <w:szCs w:val="22"/>
        </w:rPr>
        <w:t>Úhrada za predmet zákazky bude realizovaná formou bezhotovostného platobného styku prostredníctvom finančného úradu verejného obstarávateľa po dodaní predmetu obstarávania na základe objednávky.</w:t>
      </w:r>
    </w:p>
    <w:p w14:paraId="58F17A3F" w14:textId="77777777" w:rsidR="00C80A37" w:rsidRPr="00D74E2A" w:rsidRDefault="00C80A37" w:rsidP="00BE7845">
      <w:pPr>
        <w:pStyle w:val="Odsekzoznamu"/>
        <w:jc w:val="both"/>
        <w:rPr>
          <w:b/>
          <w:sz w:val="22"/>
          <w:szCs w:val="22"/>
        </w:rPr>
      </w:pPr>
    </w:p>
    <w:p w14:paraId="3AE864B7" w14:textId="2247D8EF" w:rsidR="00C80A37" w:rsidRPr="00D74E2A" w:rsidRDefault="00C80A37" w:rsidP="00BE7845">
      <w:pPr>
        <w:pStyle w:val="Odsekzoznamu"/>
        <w:numPr>
          <w:ilvl w:val="0"/>
          <w:numId w:val="52"/>
        </w:numPr>
        <w:jc w:val="both"/>
        <w:rPr>
          <w:b/>
          <w:sz w:val="22"/>
          <w:szCs w:val="22"/>
        </w:rPr>
      </w:pPr>
      <w:r w:rsidRPr="00D74E2A">
        <w:rPr>
          <w:b/>
          <w:sz w:val="22"/>
          <w:szCs w:val="22"/>
        </w:rPr>
        <w:t>Doplňujúce informácie</w:t>
      </w:r>
    </w:p>
    <w:p w14:paraId="16C58876" w14:textId="0165F422" w:rsidR="00E976FD" w:rsidRPr="00D74E2A" w:rsidRDefault="00C80A37" w:rsidP="00BE7845">
      <w:pPr>
        <w:pStyle w:val="Odsekzoznamu"/>
        <w:jc w:val="both"/>
        <w:rPr>
          <w:sz w:val="22"/>
          <w:szCs w:val="22"/>
        </w:rPr>
      </w:pPr>
      <w:r w:rsidRPr="00D74E2A">
        <w:rPr>
          <w:sz w:val="22"/>
          <w:szCs w:val="22"/>
        </w:rPr>
        <w:t>Zákazka sa týka projektu financovaného z fondov Európskej únie: nie</w:t>
      </w:r>
    </w:p>
    <w:p w14:paraId="6DE06822" w14:textId="77777777" w:rsidR="0003178A" w:rsidRPr="00D74E2A" w:rsidRDefault="0003178A" w:rsidP="00BE7845">
      <w:pPr>
        <w:pStyle w:val="Odsekzoznamu"/>
        <w:jc w:val="both"/>
        <w:rPr>
          <w:sz w:val="22"/>
          <w:szCs w:val="22"/>
        </w:rPr>
      </w:pPr>
    </w:p>
    <w:p w14:paraId="5507DDB5" w14:textId="77777777" w:rsidR="0003178A" w:rsidRPr="00D74E2A" w:rsidRDefault="0003178A" w:rsidP="00BE7845">
      <w:pPr>
        <w:pStyle w:val="Odsekzoznamu"/>
        <w:jc w:val="both"/>
        <w:rPr>
          <w:sz w:val="22"/>
          <w:szCs w:val="22"/>
        </w:rPr>
      </w:pPr>
      <w:bookmarkStart w:id="0" w:name="_GoBack"/>
      <w:bookmarkEnd w:id="0"/>
    </w:p>
    <w:sectPr w:rsidR="0003178A" w:rsidRPr="00D74E2A" w:rsidSect="00C35EDC">
      <w:footerReference w:type="default" r:id="rId8"/>
      <w:pgSz w:w="11906" w:h="16838" w:code="9"/>
      <w:pgMar w:top="1134" w:right="127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ADDB4" w14:textId="77777777" w:rsidR="006E3CE7" w:rsidRDefault="006E3CE7">
      <w:r>
        <w:separator/>
      </w:r>
    </w:p>
  </w:endnote>
  <w:endnote w:type="continuationSeparator" w:id="0">
    <w:p w14:paraId="3D9C4F89" w14:textId="77777777" w:rsidR="006E3CE7" w:rsidRDefault="006E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Univer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192315"/>
      <w:docPartObj>
        <w:docPartGallery w:val="Page Numbers (Bottom of Page)"/>
        <w:docPartUnique/>
      </w:docPartObj>
    </w:sdtPr>
    <w:sdtEndPr/>
    <w:sdtContent>
      <w:p w14:paraId="7122319F" w14:textId="473920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DE291F">
          <w:rPr>
            <w:rFonts w:ascii="Arial Narrow" w:hAnsi="Arial Narrow"/>
            <w:sz w:val="16"/>
            <w:szCs w:val="16"/>
          </w:rPr>
          <w:t>2</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69C94" w14:textId="77777777" w:rsidR="006E3CE7" w:rsidRDefault="006E3CE7">
      <w:r>
        <w:separator/>
      </w:r>
    </w:p>
  </w:footnote>
  <w:footnote w:type="continuationSeparator" w:id="0">
    <w:p w14:paraId="6590E23D" w14:textId="77777777" w:rsidR="006E3CE7" w:rsidRDefault="006E3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8D74FB7"/>
    <w:multiLevelType w:val="hybridMultilevel"/>
    <w:tmpl w:val="A1CA3DE4"/>
    <w:lvl w:ilvl="0" w:tplc="6928BCB2">
      <w:numFmt w:val="bullet"/>
      <w:lvlText w:val="-"/>
      <w:lvlJc w:val="left"/>
      <w:pPr>
        <w:ind w:left="1080" w:hanging="360"/>
      </w:pPr>
      <w:rPr>
        <w:rFonts w:ascii="Arial Narrow" w:eastAsia="Times New Roman"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2"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6"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7"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1"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649F6167"/>
    <w:multiLevelType w:val="hybridMultilevel"/>
    <w:tmpl w:val="FA08A9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5"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6"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2"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3"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6"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7"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0"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61"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4"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2"/>
  </w:num>
  <w:num w:numId="3">
    <w:abstractNumId w:val="5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2"/>
  </w:num>
  <w:num w:numId="6">
    <w:abstractNumId w:val="19"/>
  </w:num>
  <w:num w:numId="7">
    <w:abstractNumId w:val="16"/>
  </w:num>
  <w:num w:numId="8">
    <w:abstractNumId w:val="33"/>
  </w:num>
  <w:num w:numId="9">
    <w:abstractNumId w:val="10"/>
  </w:num>
  <w:num w:numId="10">
    <w:abstractNumId w:val="45"/>
  </w:num>
  <w:num w:numId="11">
    <w:abstractNumId w:val="49"/>
  </w:num>
  <w:num w:numId="12">
    <w:abstractNumId w:val="25"/>
  </w:num>
  <w:num w:numId="13">
    <w:abstractNumId w:val="15"/>
  </w:num>
  <w:num w:numId="14">
    <w:abstractNumId w:val="53"/>
  </w:num>
  <w:num w:numId="15">
    <w:abstractNumId w:val="11"/>
  </w:num>
  <w:num w:numId="16">
    <w:abstractNumId w:val="47"/>
  </w:num>
  <w:num w:numId="17">
    <w:abstractNumId w:val="51"/>
  </w:num>
  <w:num w:numId="18">
    <w:abstractNumId w:val="54"/>
  </w:num>
  <w:num w:numId="19">
    <w:abstractNumId w:val="21"/>
  </w:num>
  <w:num w:numId="20">
    <w:abstractNumId w:val="61"/>
  </w:num>
  <w:num w:numId="21">
    <w:abstractNumId w:val="24"/>
  </w:num>
  <w:num w:numId="22">
    <w:abstractNumId w:val="64"/>
  </w:num>
  <w:num w:numId="23">
    <w:abstractNumId w:val="58"/>
  </w:num>
  <w:num w:numId="24">
    <w:abstractNumId w:val="38"/>
  </w:num>
  <w:num w:numId="25">
    <w:abstractNumId w:val="48"/>
  </w:num>
  <w:num w:numId="26">
    <w:abstractNumId w:val="14"/>
  </w:num>
  <w:num w:numId="27">
    <w:abstractNumId w:val="22"/>
  </w:num>
  <w:num w:numId="28">
    <w:abstractNumId w:val="17"/>
  </w:num>
  <w:num w:numId="29">
    <w:abstractNumId w:val="39"/>
  </w:num>
  <w:num w:numId="30">
    <w:abstractNumId w:val="26"/>
  </w:num>
  <w:num w:numId="31">
    <w:abstractNumId w:val="52"/>
  </w:num>
  <w:num w:numId="32">
    <w:abstractNumId w:val="41"/>
  </w:num>
  <w:num w:numId="33">
    <w:abstractNumId w:val="46"/>
  </w:num>
  <w:num w:numId="34">
    <w:abstractNumId w:val="29"/>
  </w:num>
  <w:num w:numId="35">
    <w:abstractNumId w:val="28"/>
  </w:num>
  <w:num w:numId="36">
    <w:abstractNumId w:val="31"/>
  </w:num>
  <w:num w:numId="37">
    <w:abstractNumId w:val="56"/>
  </w:num>
  <w:num w:numId="38">
    <w:abstractNumId w:val="62"/>
  </w:num>
  <w:num w:numId="39">
    <w:abstractNumId w:val="35"/>
  </w:num>
  <w:num w:numId="40">
    <w:abstractNumId w:val="65"/>
  </w:num>
  <w:num w:numId="41">
    <w:abstractNumId w:val="37"/>
  </w:num>
  <w:num w:numId="42">
    <w:abstractNumId w:val="36"/>
  </w:num>
  <w:num w:numId="43">
    <w:abstractNumId w:val="40"/>
  </w:num>
  <w:num w:numId="44">
    <w:abstractNumId w:val="43"/>
  </w:num>
  <w:num w:numId="45">
    <w:abstractNumId w:val="27"/>
  </w:num>
  <w:num w:numId="46">
    <w:abstractNumId w:val="57"/>
  </w:num>
  <w:num w:numId="47">
    <w:abstractNumId w:val="63"/>
  </w:num>
  <w:num w:numId="48">
    <w:abstractNumId w:val="34"/>
  </w:num>
  <w:num w:numId="49">
    <w:abstractNumId w:val="20"/>
  </w:num>
  <w:num w:numId="50">
    <w:abstractNumId w:val="60"/>
  </w:num>
  <w:num w:numId="51">
    <w:abstractNumId w:val="23"/>
  </w:num>
  <w:num w:numId="52">
    <w:abstractNumId w:val="66"/>
  </w:num>
  <w:num w:numId="53">
    <w:abstractNumId w:val="12"/>
  </w:num>
  <w:num w:numId="54">
    <w:abstractNumId w:val="50"/>
  </w:num>
  <w:num w:numId="55">
    <w:abstractNumId w:val="59"/>
  </w:num>
  <w:num w:numId="56">
    <w:abstractNumId w:val="30"/>
  </w:num>
  <w:num w:numId="57">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8A"/>
    <w:rsid w:val="000317F2"/>
    <w:rsid w:val="00031DC7"/>
    <w:rsid w:val="00032657"/>
    <w:rsid w:val="00032963"/>
    <w:rsid w:val="00032987"/>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0EA"/>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2EA"/>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0DFC"/>
    <w:rsid w:val="002A215E"/>
    <w:rsid w:val="002A25DF"/>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F11"/>
    <w:rsid w:val="00300060"/>
    <w:rsid w:val="00301111"/>
    <w:rsid w:val="0030316E"/>
    <w:rsid w:val="0030356D"/>
    <w:rsid w:val="003035BA"/>
    <w:rsid w:val="003035F0"/>
    <w:rsid w:val="0030366D"/>
    <w:rsid w:val="00303747"/>
    <w:rsid w:val="00303E45"/>
    <w:rsid w:val="00303E6C"/>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619C"/>
    <w:rsid w:val="00316825"/>
    <w:rsid w:val="0031697F"/>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0BE8"/>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84E"/>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F29"/>
    <w:rsid w:val="00407645"/>
    <w:rsid w:val="004078D7"/>
    <w:rsid w:val="0041027F"/>
    <w:rsid w:val="00410D39"/>
    <w:rsid w:val="00411919"/>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07"/>
    <w:rsid w:val="004B35AC"/>
    <w:rsid w:val="004B3BAE"/>
    <w:rsid w:val="004B3DA9"/>
    <w:rsid w:val="004B3F8A"/>
    <w:rsid w:val="004B3FF6"/>
    <w:rsid w:val="004B4778"/>
    <w:rsid w:val="004B4DD1"/>
    <w:rsid w:val="004B521C"/>
    <w:rsid w:val="004B5E8E"/>
    <w:rsid w:val="004B6702"/>
    <w:rsid w:val="004B68B6"/>
    <w:rsid w:val="004B6C55"/>
    <w:rsid w:val="004B6D10"/>
    <w:rsid w:val="004B7309"/>
    <w:rsid w:val="004B7354"/>
    <w:rsid w:val="004B7B0E"/>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44"/>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E0D"/>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0E"/>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0FF2"/>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400"/>
    <w:rsid w:val="006E35B2"/>
    <w:rsid w:val="006E3A06"/>
    <w:rsid w:val="006E3CE7"/>
    <w:rsid w:val="006E4E5B"/>
    <w:rsid w:val="006E571D"/>
    <w:rsid w:val="006E6414"/>
    <w:rsid w:val="006E6C87"/>
    <w:rsid w:val="006E6E9C"/>
    <w:rsid w:val="006E7546"/>
    <w:rsid w:val="006E7881"/>
    <w:rsid w:val="006E7902"/>
    <w:rsid w:val="006F0522"/>
    <w:rsid w:val="006F0BFF"/>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1C0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4429"/>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14"/>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47E"/>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5EB2"/>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7C2"/>
    <w:rsid w:val="009419C1"/>
    <w:rsid w:val="00941C7C"/>
    <w:rsid w:val="009422C8"/>
    <w:rsid w:val="00942B0E"/>
    <w:rsid w:val="00942B7D"/>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E05"/>
    <w:rsid w:val="009E4C14"/>
    <w:rsid w:val="009E4CD4"/>
    <w:rsid w:val="009E4E0B"/>
    <w:rsid w:val="009E4E8B"/>
    <w:rsid w:val="009E6098"/>
    <w:rsid w:val="009E7589"/>
    <w:rsid w:val="009E7863"/>
    <w:rsid w:val="009E78BD"/>
    <w:rsid w:val="009E7B93"/>
    <w:rsid w:val="009F02FB"/>
    <w:rsid w:val="009F0749"/>
    <w:rsid w:val="009F09A9"/>
    <w:rsid w:val="009F1310"/>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563"/>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1B03"/>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7B8A"/>
    <w:rsid w:val="00A808E5"/>
    <w:rsid w:val="00A80953"/>
    <w:rsid w:val="00A80B83"/>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845"/>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5EDC"/>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A37"/>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1D87"/>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A09B8"/>
    <w:rsid w:val="00CA09CF"/>
    <w:rsid w:val="00CA0E2C"/>
    <w:rsid w:val="00CA165B"/>
    <w:rsid w:val="00CA17E9"/>
    <w:rsid w:val="00CA197E"/>
    <w:rsid w:val="00CA1A96"/>
    <w:rsid w:val="00CA1B05"/>
    <w:rsid w:val="00CA22DF"/>
    <w:rsid w:val="00CA37EA"/>
    <w:rsid w:val="00CA38BB"/>
    <w:rsid w:val="00CA3B4A"/>
    <w:rsid w:val="00CA4073"/>
    <w:rsid w:val="00CA44DB"/>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6952"/>
    <w:rsid w:val="00D0779F"/>
    <w:rsid w:val="00D07823"/>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509"/>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4E2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291F"/>
    <w:rsid w:val="00DE3626"/>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0A"/>
    <w:rsid w:val="00DF6429"/>
    <w:rsid w:val="00DF6504"/>
    <w:rsid w:val="00DF6896"/>
    <w:rsid w:val="00DF6A83"/>
    <w:rsid w:val="00DF737D"/>
    <w:rsid w:val="00E003A5"/>
    <w:rsid w:val="00E004B9"/>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1DC5"/>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433"/>
    <w:rsid w:val="00E3047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6786D"/>
    <w:rsid w:val="00E70D1A"/>
    <w:rsid w:val="00E70F70"/>
    <w:rsid w:val="00E71C43"/>
    <w:rsid w:val="00E727DF"/>
    <w:rsid w:val="00E73BA7"/>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976FD"/>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4E4C"/>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BE3"/>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5F2F"/>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E36"/>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EF4926FA-E00E-47C9-9A6E-390D216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 w:type="table" w:customStyle="1" w:styleId="Mriekatabuky7">
    <w:name w:val="Mriežka tabuľky7"/>
    <w:basedOn w:val="Normlnatabuka"/>
    <w:next w:val="Mriekatabuky"/>
    <w:rsid w:val="00E9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C1047-2BDD-4BB5-AECE-58DFBF94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353</Words>
  <Characters>2014</Characters>
  <Application>Microsoft Office Word</Application>
  <DocSecurity>0</DocSecurity>
  <Lines>16</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Miroslav Rožňovský</cp:lastModifiedBy>
  <cp:revision>5</cp:revision>
  <cp:lastPrinted>2024-01-16T10:34:00Z</cp:lastPrinted>
  <dcterms:created xsi:type="dcterms:W3CDTF">2024-08-01T10:20:00Z</dcterms:created>
  <dcterms:modified xsi:type="dcterms:W3CDTF">2024-08-14T08:43:00Z</dcterms:modified>
</cp:coreProperties>
</file>