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5DA65AE7"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 xml:space="preserve">s jedným účastníkom </w:t>
      </w:r>
      <w:r>
        <w:rPr>
          <w:rFonts w:ascii="Arial" w:hAnsi="Arial" w:cs="Arial"/>
          <w:b/>
          <w:sz w:val="18"/>
          <w:szCs w:val="18"/>
        </w:rPr>
        <w:t>bez opätovného otvorenia súťaže</w:t>
      </w:r>
    </w:p>
    <w:p w14:paraId="51FA2B7B" w14:textId="77777777" w:rsidR="00992F85" w:rsidRPr="00A83622" w:rsidRDefault="00992F85" w:rsidP="00992F85">
      <w:pPr>
        <w:spacing w:after="0" w:line="240" w:lineRule="auto"/>
        <w:jc w:val="center"/>
        <w:rPr>
          <w:rFonts w:ascii="Arial" w:hAnsi="Arial" w:cs="Arial"/>
          <w:b/>
          <w:sz w:val="18"/>
          <w:szCs w:val="18"/>
        </w:rPr>
      </w:pPr>
    </w:p>
    <w:p w14:paraId="0562FD2E" w14:textId="7BB34321" w:rsidR="00992F85" w:rsidRPr="004D7CE7"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„ZoVO“)</w:t>
      </w:r>
    </w:p>
    <w:p w14:paraId="41978BFA" w14:textId="77777777" w:rsidR="00992F85" w:rsidRPr="00A83622" w:rsidRDefault="00992F85" w:rsidP="00992F85">
      <w:pPr>
        <w:spacing w:after="0" w:line="240" w:lineRule="auto"/>
        <w:jc w:val="center"/>
        <w:rPr>
          <w:rFonts w:ascii="Arial" w:hAnsi="Arial" w:cs="Arial"/>
          <w:sz w:val="18"/>
          <w:szCs w:val="18"/>
        </w:rPr>
      </w:pPr>
    </w:p>
    <w:p w14:paraId="6DE1CD7C" w14:textId="2B290257" w:rsidR="00992F85" w:rsidRDefault="00992F85" w:rsidP="00992F85">
      <w:pPr>
        <w:spacing w:after="0" w:line="240" w:lineRule="auto"/>
        <w:jc w:val="center"/>
        <w:rPr>
          <w:rFonts w:ascii="Arial" w:hAnsi="Arial" w:cs="Arial"/>
          <w:b/>
          <w:sz w:val="18"/>
          <w:szCs w:val="18"/>
        </w:rPr>
      </w:pPr>
      <w:r w:rsidRPr="006F58F3">
        <w:rPr>
          <w:rFonts w:ascii="Arial" w:hAnsi="Arial" w:cs="Arial"/>
          <w:sz w:val="18"/>
          <w:szCs w:val="18"/>
        </w:rPr>
        <w:t>na dodanie:</w:t>
      </w:r>
      <w:r w:rsidRPr="00A83622">
        <w:rPr>
          <w:rFonts w:ascii="Arial" w:hAnsi="Arial" w:cs="Arial"/>
          <w:b/>
          <w:sz w:val="18"/>
          <w:szCs w:val="18"/>
        </w:rPr>
        <w:t xml:space="preserve"> </w:t>
      </w:r>
      <w:r w:rsidR="00431849">
        <w:rPr>
          <w:rFonts w:ascii="Arial" w:hAnsi="Arial" w:cs="Arial"/>
          <w:b/>
          <w:sz w:val="18"/>
          <w:szCs w:val="18"/>
        </w:rPr>
        <w:t>Kanyly</w:t>
      </w:r>
    </w:p>
    <w:p w14:paraId="0A94FBD2" w14:textId="77777777" w:rsidR="00992F85" w:rsidRPr="00A83622" w:rsidRDefault="00992F85" w:rsidP="00992F85">
      <w:pPr>
        <w:spacing w:after="0" w:line="240" w:lineRule="auto"/>
        <w:jc w:val="center"/>
        <w:rPr>
          <w:rFonts w:ascii="Arial" w:hAnsi="Arial" w:cs="Arial"/>
          <w:b/>
          <w:sz w:val="18"/>
          <w:szCs w:val="18"/>
        </w:rPr>
      </w:pPr>
    </w:p>
    <w:p w14:paraId="108D5ED0" w14:textId="77777777" w:rsidR="00992F85" w:rsidRPr="00A83622" w:rsidRDefault="00992F85" w:rsidP="00992F85">
      <w:pPr>
        <w:spacing w:after="0" w:line="240" w:lineRule="auto"/>
        <w:jc w:val="center"/>
        <w:rPr>
          <w:rFonts w:ascii="Arial" w:hAnsi="Arial" w:cs="Arial"/>
          <w:b/>
          <w:sz w:val="18"/>
          <w:szCs w:val="18"/>
        </w:rPr>
      </w:pPr>
    </w:p>
    <w:p w14:paraId="1A7B1BE5"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77777777" w:rsidR="00992F85" w:rsidRPr="00A83622"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Východoslovenský ústav srdcových a cievnych chorôb, a.s.</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MUDr. Štefan Lukačín,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t>doc. MUDr. Martin Studenčan,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w:t>
      </w:r>
      <w:r>
        <w:rPr>
          <w:rFonts w:ascii="Arial" w:hAnsi="Arial" w:cs="Arial"/>
          <w:sz w:val="18"/>
          <w:szCs w:val="18"/>
        </w:rPr>
        <w:t xml:space="preserve">FESC, </w:t>
      </w:r>
      <w:r w:rsidRPr="00A83622">
        <w:rPr>
          <w:rFonts w:ascii="Arial" w:hAnsi="Arial" w:cs="Arial"/>
          <w:sz w:val="18"/>
          <w:szCs w:val="18"/>
        </w:rPr>
        <w:t>podpredseda predstavenstva</w:t>
      </w:r>
    </w:p>
    <w:p w14:paraId="06A32EA1"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t>MUDr. Peter Šafár, MHA,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4ABD6F1D"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Slovenská sporiteľňa, a.</w:t>
      </w:r>
      <w:r>
        <w:rPr>
          <w:rFonts w:ascii="Arial" w:hAnsi="Arial" w:cs="Arial"/>
          <w:sz w:val="18"/>
          <w:szCs w:val="18"/>
        </w:rPr>
        <w:t>s.</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135E1A55" w14:textId="2F49C97E" w:rsidR="00992F85" w:rsidRDefault="00992F85" w:rsidP="00992F85">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Pr>
          <w:rFonts w:ascii="Arial" w:hAnsi="Arial" w:cs="Arial"/>
          <w:sz w:val="18"/>
          <w:szCs w:val="18"/>
        </w:rPr>
        <w:t>(ďalej len „RD“) uzatvárajú K</w:t>
      </w:r>
      <w:r w:rsidRPr="00A83622">
        <w:rPr>
          <w:rFonts w:ascii="Arial" w:hAnsi="Arial" w:cs="Arial"/>
          <w:sz w:val="18"/>
          <w:szCs w:val="18"/>
        </w:rPr>
        <w:t>upuj</w:t>
      </w:r>
      <w:r>
        <w:rPr>
          <w:rFonts w:ascii="Arial" w:hAnsi="Arial" w:cs="Arial"/>
          <w:sz w:val="18"/>
          <w:szCs w:val="18"/>
        </w:rPr>
        <w:t>úci ako verejný obstarávateľ a P</w:t>
      </w:r>
      <w:r w:rsidRPr="00A83622">
        <w:rPr>
          <w:rFonts w:ascii="Arial" w:hAnsi="Arial" w:cs="Arial"/>
          <w:sz w:val="18"/>
          <w:szCs w:val="18"/>
        </w:rPr>
        <w:t xml:space="preserve">redávajúci ako úspešný uchádzač </w:t>
      </w:r>
      <w:r>
        <w:rPr>
          <w:rFonts w:ascii="Arial" w:hAnsi="Arial" w:cs="Arial"/>
          <w:sz w:val="18"/>
          <w:szCs w:val="18"/>
        </w:rPr>
        <w:t>na</w:t>
      </w:r>
      <w:r w:rsidR="00431849">
        <w:rPr>
          <w:rFonts w:ascii="Arial" w:hAnsi="Arial" w:cs="Arial"/>
          <w:sz w:val="18"/>
          <w:szCs w:val="18"/>
        </w:rPr>
        <w:t xml:space="preserve"> výsledku verejného obstarávania podľa</w:t>
      </w:r>
      <w:r>
        <w:rPr>
          <w:rFonts w:ascii="Arial" w:hAnsi="Arial" w:cs="Arial"/>
          <w:sz w:val="18"/>
          <w:szCs w:val="18"/>
        </w:rPr>
        <w:t xml:space="preserve"> </w:t>
      </w:r>
      <w:r w:rsidRPr="00A83622">
        <w:rPr>
          <w:rFonts w:ascii="Arial" w:hAnsi="Arial" w:cs="Arial"/>
          <w:sz w:val="18"/>
          <w:szCs w:val="18"/>
        </w:rPr>
        <w:t>ZoVO na predmet zákazky</w:t>
      </w:r>
      <w:r>
        <w:rPr>
          <w:rFonts w:ascii="Arial" w:hAnsi="Arial" w:cs="Arial"/>
          <w:sz w:val="18"/>
          <w:szCs w:val="18"/>
        </w:rPr>
        <w:t xml:space="preserve"> s názvom</w:t>
      </w:r>
      <w:r w:rsidRPr="00A83622">
        <w:rPr>
          <w:rFonts w:ascii="Arial" w:hAnsi="Arial" w:cs="Arial"/>
          <w:sz w:val="18"/>
          <w:szCs w:val="18"/>
        </w:rPr>
        <w:t>:</w:t>
      </w:r>
      <w:r w:rsidRPr="00A83622">
        <w:rPr>
          <w:rFonts w:ascii="Arial" w:hAnsi="Arial" w:cs="Arial"/>
          <w:b/>
          <w:sz w:val="18"/>
          <w:szCs w:val="18"/>
        </w:rPr>
        <w:t xml:space="preserve"> </w:t>
      </w:r>
      <w:r w:rsidR="00431849">
        <w:rPr>
          <w:rFonts w:ascii="Arial" w:hAnsi="Arial" w:cs="Arial"/>
          <w:b/>
          <w:sz w:val="18"/>
          <w:szCs w:val="18"/>
        </w:rPr>
        <w:t>Kanyly</w:t>
      </w:r>
    </w:p>
    <w:p w14:paraId="1C24E8A7" w14:textId="77777777" w:rsidR="00992F85" w:rsidRDefault="00992F85"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992F85">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992F85">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55140188"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431849">
        <w:rPr>
          <w:rFonts w:ascii="Arial" w:hAnsi="Arial" w:cs="Arial"/>
          <w:sz w:val="18"/>
          <w:szCs w:val="18"/>
        </w:rPr>
        <w:t xml:space="preserve"> kanyly</w:t>
      </w:r>
      <w:r w:rsidRPr="003577AC">
        <w:rPr>
          <w:rFonts w:ascii="Arial" w:hAnsi="Arial" w:cs="Arial"/>
          <w:sz w:val="18"/>
          <w:szCs w:val="18"/>
        </w:rPr>
        <w:t xml:space="preserve">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 xml:space="preserve">edchádzajúcom písomnom súhlase </w:t>
      </w:r>
      <w:r>
        <w:rPr>
          <w:rFonts w:ascii="Arial" w:hAnsi="Arial" w:cs="Arial"/>
          <w:sz w:val="18"/>
          <w:szCs w:val="18"/>
        </w:rPr>
        <w:lastRenderedPageBreak/>
        <w:t>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A40900">
        <w:rPr>
          <w:rFonts w:ascii="Arial" w:hAnsi="Arial" w:cs="Arial"/>
          <w:sz w:val="18"/>
          <w:szCs w:val="18"/>
        </w:rPr>
        <w:t>relevantné</w:t>
      </w:r>
      <w:r>
        <w:rPr>
          <w:rFonts w:ascii="Arial" w:hAnsi="Arial" w:cs="Arial"/>
          <w:sz w:val="18"/>
          <w:szCs w:val="18"/>
        </w:rPr>
        <w:t>,</w:t>
      </w:r>
      <w:r w:rsidRPr="00A40900">
        <w:rPr>
          <w:rFonts w:ascii="Arial" w:hAnsi="Arial" w:cs="Arial"/>
          <w:sz w:val="18"/>
          <w:szCs w:val="18"/>
        </w:rPr>
        <w:t xml:space="preserve"> tak aj s výsledkom elektronickej aukcie a n</w:t>
      </w:r>
      <w:r>
        <w:rPr>
          <w:rFonts w:ascii="Arial" w:hAnsi="Arial" w:cs="Arial"/>
          <w:sz w:val="18"/>
          <w:szCs w:val="18"/>
        </w:rPr>
        <w:t>a základe písomných objednávok K</w:t>
      </w:r>
      <w:r w:rsidRPr="00A40900">
        <w:rPr>
          <w:rFonts w:ascii="Arial" w:hAnsi="Arial" w:cs="Arial"/>
          <w:sz w:val="18"/>
          <w:szCs w:val="18"/>
        </w:rPr>
        <w:t>upujúceho.</w:t>
      </w:r>
    </w:p>
    <w:p w14:paraId="3B17EDB4" w14:textId="6E8CE88F"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 xml:space="preserve">zaväzuje dodávať predmet RD s minimálnou dobou použiteľnosti </w:t>
      </w:r>
      <w:r w:rsidR="00431849">
        <w:rPr>
          <w:rFonts w:ascii="Arial" w:hAnsi="Arial" w:cs="Arial"/>
          <w:sz w:val="18"/>
          <w:szCs w:val="18"/>
        </w:rPr>
        <w:t>24</w:t>
      </w:r>
      <w:r w:rsidRPr="00E022FB">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77777777"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15</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a.s.,</w:t>
      </w:r>
      <w:r w:rsidRPr="00A83622">
        <w:rPr>
          <w:rFonts w:ascii="Arial" w:hAnsi="Arial" w:cs="Arial"/>
          <w:bCs/>
          <w:sz w:val="18"/>
          <w:szCs w:val="18"/>
        </w:rPr>
        <w:t xml:space="preserve"> Východoslovenský ústav srdcových a cievnych chorôb, a.</w:t>
      </w:r>
      <w:r>
        <w:rPr>
          <w:rFonts w:ascii="Arial" w:hAnsi="Arial" w:cs="Arial"/>
          <w:bCs/>
          <w:sz w:val="18"/>
          <w:szCs w:val="18"/>
        </w:rPr>
        <w:t>s.</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4"/>
        <w:gridCol w:w="4333"/>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 xml:space="preserve">k je </w:t>
      </w:r>
      <w:r>
        <w:rPr>
          <w:rFonts w:ascii="Arial" w:hAnsi="Arial" w:cs="Arial"/>
          <w:sz w:val="18"/>
          <w:szCs w:val="18"/>
        </w:rPr>
        <w:lastRenderedPageBreak/>
        <w:t>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2620BE29"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78D792B4"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1"/>
      </w:r>
      <w:r w:rsidR="00992F85" w:rsidRPr="00657BF5">
        <w:rPr>
          <w:rFonts w:ascii="Arial" w:hAnsi="Arial" w:cs="Arial"/>
          <w:sz w:val="18"/>
          <w:szCs w:val="18"/>
        </w:rPr>
        <w:t>.</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06DE81D2"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 V prípadoch zmeny cien v dôsledku zmeny aktuálne platného Zoznamu kategorizovaných špeciálnych zdravotníckych materiálov s maximálnou výškou úhrady poisťovne Všeobecná zdravotná poisťovňa, a.s., DÔVERA zdravotná poisťovňa, a.s. a Union zdravotná poisťovňa, a.s. a taktiež v prípadoch zmeny cien v dôsledku zmeny aktuálne platného Zoznamu nekategorizovaných špeciálnych zdravotníckych materiálov s </w:t>
      </w:r>
      <w:r w:rsidRPr="0055439D">
        <w:rPr>
          <w:rFonts w:ascii="Arial" w:hAnsi="Arial" w:cs="Arial"/>
          <w:sz w:val="18"/>
          <w:szCs w:val="18"/>
        </w:rPr>
        <w:lastRenderedPageBreak/>
        <w:t>maximálnou výškou úhrady poisťovne Všeobecná zdravotná poisťovňa, a.s., DÔVERA zdravotná poisťovňa, a.s. a Union zdravotná poisťovňa, a.s.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487E717D" w14:textId="2BF8B327"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lastRenderedPageBreak/>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6CBB350" w14:textId="27B6929A"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vadného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vadného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4799B535" w14:textId="77777777" w:rsidR="00992F85" w:rsidRPr="00D44787"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6EC98559" w14:textId="123A836B"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lastRenderedPageBreak/>
        <w:t>Na požiadanie Účastníka dohody, ktorému boli avizované okolnosti vyššej moci, je povinný oznamovateľ predložiť hodnoverný dôkaz.</w:t>
      </w:r>
    </w:p>
    <w:p w14:paraId="4D30C1A5" w14:textId="2C37995D"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má Účastník dohody, ktorému boli avizované okolnosti vyššej moci právo ukončiť platnosť tejto RD podľa článku 10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6281A8B0" w14:textId="47928591"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u</w:t>
      </w:r>
      <w:r>
        <w:rPr>
          <w:rFonts w:ascii="Arial" w:hAnsi="Arial" w:cs="Arial"/>
          <w:sz w:val="18"/>
          <w:szCs w:val="18"/>
        </w:rPr>
        <w:t>st. § 11 ods.1 ZoVO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351AC00B"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57402D10"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3B1E7828"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57BF5">
        <w:rPr>
          <w:rFonts w:ascii="Arial" w:hAnsi="Arial" w:cs="Arial"/>
          <w:bCs/>
          <w:iCs/>
          <w:sz w:val="18"/>
          <w:szCs w:val="18"/>
        </w:rPr>
        <w:t xml:space="preserve">uzatvára </w:t>
      </w:r>
      <w:r w:rsidR="00CD66EB">
        <w:rPr>
          <w:rFonts w:ascii="Arial" w:hAnsi="Arial" w:cs="Arial"/>
          <w:b/>
          <w:bCs/>
          <w:iCs/>
          <w:sz w:val="18"/>
          <w:szCs w:val="18"/>
        </w:rPr>
        <w:t xml:space="preserve">na obdobie </w:t>
      </w:r>
      <w:r w:rsidR="00431849">
        <w:rPr>
          <w:rFonts w:ascii="Arial" w:hAnsi="Arial" w:cs="Arial"/>
          <w:b/>
          <w:bCs/>
          <w:iCs/>
          <w:sz w:val="18"/>
          <w:szCs w:val="18"/>
        </w:rPr>
        <w:t>36</w:t>
      </w:r>
      <w:r w:rsidRPr="00657BF5">
        <w:rPr>
          <w:rFonts w:ascii="Arial" w:hAnsi="Arial" w:cs="Arial"/>
          <w:b/>
          <w:bCs/>
          <w:iCs/>
          <w:sz w:val="18"/>
          <w:szCs w:val="18"/>
        </w:rPr>
        <w:t xml:space="preserve"> kalendárnych mesiacov</w:t>
      </w:r>
      <w:r w:rsidRPr="00657BF5">
        <w:rPr>
          <w:rFonts w:ascii="Arial" w:hAnsi="Arial" w:cs="Arial"/>
          <w:bCs/>
          <w:iCs/>
          <w:sz w:val="18"/>
          <w:szCs w:val="18"/>
        </w:rPr>
        <w:t xml:space="preserve"> odo dňa nadobudnutia jej účinnosti a zároveň do doby naplnenia </w:t>
      </w:r>
      <w:r w:rsidR="004C2FD9">
        <w:rPr>
          <w:rFonts w:ascii="Arial" w:hAnsi="Arial" w:cs="Arial"/>
          <w:bCs/>
          <w:iCs/>
          <w:sz w:val="18"/>
          <w:szCs w:val="18"/>
        </w:rPr>
        <w:t>dohodnutej celkovej ceny</w:t>
      </w:r>
      <w:r w:rsidRPr="00657BF5">
        <w:rPr>
          <w:rFonts w:ascii="Arial" w:hAnsi="Arial" w:cs="Arial"/>
          <w:bCs/>
          <w:iCs/>
          <w:sz w:val="18"/>
          <w:szCs w:val="18"/>
        </w:rPr>
        <w:t xml:space="preserve"> podľa článku 4 bod </w:t>
      </w:r>
      <w:r w:rsidR="004C2FD9">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je splnený niektorý z dôvodov na odstúpenie od tejto RD podľa § 19 ZoVO,</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stratil spôsobilosť vyžadovanú ZoVO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283AC75A"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4F122741" w14:textId="452EDB87" w:rsidR="00431849" w:rsidRPr="00CF6360" w:rsidRDefault="00431849" w:rsidP="00431849">
      <w:pPr>
        <w:numPr>
          <w:ilvl w:val="0"/>
          <w:numId w:val="10"/>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Pr="006F4833">
        <w:rPr>
          <w:rFonts w:ascii="Arial" w:hAnsi="Arial" w:cs="Arial"/>
          <w:sz w:val="18"/>
          <w:szCs w:val="18"/>
        </w:rPr>
        <w:t xml:space="preserve"> </w:t>
      </w:r>
      <w:r>
        <w:rPr>
          <w:rFonts w:ascii="Arial" w:hAnsi="Arial" w:cs="Arial"/>
          <w:sz w:val="18"/>
          <w:szCs w:val="18"/>
        </w:rPr>
        <w:t xml:space="preserve">sa dohodli, že v prípade, ak </w:t>
      </w:r>
      <w:r w:rsidRPr="006F4833">
        <w:rPr>
          <w:rFonts w:ascii="Arial" w:hAnsi="Arial" w:cs="Arial"/>
          <w:sz w:val="18"/>
          <w:szCs w:val="18"/>
        </w:rPr>
        <w:t xml:space="preserve">bude vyčerpaných viac ako </w:t>
      </w:r>
      <w:r>
        <w:rPr>
          <w:rFonts w:ascii="Arial" w:hAnsi="Arial" w:cs="Arial"/>
          <w:sz w:val="18"/>
          <w:szCs w:val="18"/>
        </w:rPr>
        <w:t>7</w:t>
      </w:r>
      <w:r w:rsidRPr="006F4833">
        <w:rPr>
          <w:rFonts w:ascii="Arial" w:hAnsi="Arial" w:cs="Arial"/>
          <w:sz w:val="18"/>
          <w:szCs w:val="18"/>
        </w:rPr>
        <w:t xml:space="preserve">0% </w:t>
      </w:r>
      <w:r>
        <w:rPr>
          <w:rFonts w:ascii="Arial" w:hAnsi="Arial" w:cs="Arial"/>
          <w:bCs/>
          <w:iCs/>
          <w:sz w:val="18"/>
          <w:szCs w:val="18"/>
        </w:rPr>
        <w:t>dohodnutej</w:t>
      </w:r>
      <w:r w:rsidRPr="006F4833">
        <w:rPr>
          <w:rFonts w:ascii="Arial" w:hAnsi="Arial" w:cs="Arial"/>
          <w:bCs/>
          <w:iCs/>
          <w:sz w:val="18"/>
          <w:szCs w:val="18"/>
        </w:rPr>
        <w:t xml:space="preserve"> </w:t>
      </w:r>
      <w:r>
        <w:rPr>
          <w:rFonts w:ascii="Arial" w:hAnsi="Arial" w:cs="Arial"/>
          <w:bCs/>
          <w:iCs/>
          <w:sz w:val="18"/>
          <w:szCs w:val="18"/>
        </w:rPr>
        <w:t>celkovej ceny</w:t>
      </w:r>
      <w:r w:rsidRPr="006F4833">
        <w:rPr>
          <w:rFonts w:ascii="Arial" w:hAnsi="Arial" w:cs="Arial"/>
          <w:bCs/>
          <w:iCs/>
          <w:sz w:val="18"/>
          <w:szCs w:val="18"/>
        </w:rPr>
        <w:t xml:space="preserve"> </w:t>
      </w:r>
      <w:r>
        <w:rPr>
          <w:rFonts w:ascii="Arial" w:hAnsi="Arial" w:cs="Arial"/>
          <w:bCs/>
          <w:iCs/>
          <w:sz w:val="18"/>
          <w:szCs w:val="18"/>
        </w:rPr>
        <w:t>uvedenej</w:t>
      </w:r>
      <w:r w:rsidRPr="006F4833">
        <w:rPr>
          <w:rFonts w:ascii="Arial" w:hAnsi="Arial" w:cs="Arial"/>
          <w:bCs/>
          <w:iCs/>
          <w:sz w:val="18"/>
          <w:szCs w:val="18"/>
        </w:rPr>
        <w:t xml:space="preserve"> v článku 4 bod </w:t>
      </w:r>
      <w:r>
        <w:rPr>
          <w:rFonts w:ascii="Arial" w:hAnsi="Arial" w:cs="Arial"/>
          <w:bCs/>
          <w:iCs/>
          <w:sz w:val="18"/>
          <w:szCs w:val="18"/>
        </w:rPr>
        <w:t>3</w:t>
      </w:r>
      <w:r w:rsidRPr="006F4833">
        <w:rPr>
          <w:rFonts w:ascii="Arial" w:hAnsi="Arial" w:cs="Arial"/>
          <w:bCs/>
          <w:iCs/>
          <w:sz w:val="18"/>
          <w:szCs w:val="18"/>
        </w:rPr>
        <w:t xml:space="preserve">. tejto RD, </w:t>
      </w:r>
      <w:r w:rsidR="007A4FCF">
        <w:rPr>
          <w:rFonts w:ascii="Arial" w:hAnsi="Arial" w:cs="Arial"/>
          <w:sz w:val="18"/>
          <w:szCs w:val="18"/>
        </w:rPr>
        <w:t>ú</w:t>
      </w:r>
      <w:r>
        <w:rPr>
          <w:rFonts w:ascii="Arial" w:hAnsi="Arial" w:cs="Arial"/>
          <w:sz w:val="18"/>
          <w:szCs w:val="18"/>
        </w:rPr>
        <w:t>častníci dohody</w:t>
      </w:r>
      <w:r w:rsidRPr="006F4833">
        <w:rPr>
          <w:rFonts w:ascii="Arial" w:hAnsi="Arial" w:cs="Arial"/>
          <w:sz w:val="18"/>
          <w:szCs w:val="18"/>
        </w:rPr>
        <w:t xml:space="preserve"> môžu dodatkom k tejto RD</w:t>
      </w:r>
      <w:r w:rsidR="007A4FCF">
        <w:rPr>
          <w:rFonts w:ascii="Arial" w:hAnsi="Arial" w:cs="Arial"/>
          <w:sz w:val="18"/>
          <w:szCs w:val="18"/>
        </w:rPr>
        <w:t xml:space="preserve"> v súlade s § 18 ods.3 písm. b) ZoVO navýšiť cenu predmetu zmluvy najviac o 10 % jej hodnoty.</w:t>
      </w: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lastRenderedPageBreak/>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201E2011" w:rsidR="00992F85" w:rsidRPr="00E84F14"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0E4F56BF" w14:textId="36E6F14A"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5317EB1B"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r w:rsidR="00E05738">
        <w:rPr>
          <w:rFonts w:ascii="Arial" w:hAnsi="Arial" w:cs="Arial"/>
          <w:sz w:val="18"/>
          <w:szCs w:val="18"/>
        </w:rPr>
        <w:t xml:space="preserve"> </w:t>
      </w:r>
      <w:r w:rsidR="00E05738">
        <w:rPr>
          <w:rFonts w:ascii="Arial" w:eastAsia="Calibri" w:hAnsi="Arial" w:cs="Arial"/>
          <w:sz w:val="18"/>
          <w:szCs w:val="18"/>
        </w:rPr>
        <w:t>(príloha č. 5 súťažných podkladov)</w:t>
      </w:r>
    </w:p>
    <w:p w14:paraId="68063440" w14:textId="66E46ED9"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r w:rsidR="00E05738">
        <w:rPr>
          <w:rFonts w:ascii="Arial" w:hAnsi="Arial" w:cs="Arial"/>
          <w:sz w:val="18"/>
          <w:szCs w:val="18"/>
        </w:rPr>
        <w:t xml:space="preserve"> </w:t>
      </w:r>
      <w:r w:rsidR="00E05738">
        <w:rPr>
          <w:rFonts w:ascii="Arial" w:eastAsia="Calibri" w:hAnsi="Arial" w:cs="Arial"/>
          <w:sz w:val="18"/>
          <w:szCs w:val="18"/>
        </w:rPr>
        <w:t xml:space="preserve">(príloha č. </w:t>
      </w:r>
      <w:r w:rsidR="00E05738">
        <w:rPr>
          <w:rFonts w:ascii="Arial" w:eastAsia="Calibri" w:hAnsi="Arial" w:cs="Arial"/>
          <w:sz w:val="18"/>
          <w:szCs w:val="18"/>
        </w:rPr>
        <w:t>7</w:t>
      </w:r>
      <w:r w:rsidR="00E05738">
        <w:rPr>
          <w:rFonts w:ascii="Arial" w:eastAsia="Calibri" w:hAnsi="Arial" w:cs="Arial"/>
          <w:sz w:val="18"/>
          <w:szCs w:val="18"/>
        </w:rPr>
        <w:t xml:space="preserve"> súťažných podkladov)</w:t>
      </w:r>
    </w:p>
    <w:p w14:paraId="510F614D" w14:textId="2E59F170"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E05738">
        <w:rPr>
          <w:rFonts w:ascii="Arial" w:hAnsi="Arial" w:cs="Arial"/>
          <w:sz w:val="18"/>
          <w:szCs w:val="18"/>
        </w:rPr>
        <w:t xml:space="preserve"> </w:t>
      </w:r>
      <w:r w:rsidR="00E05738">
        <w:rPr>
          <w:rFonts w:ascii="Arial" w:eastAsia="Calibri" w:hAnsi="Arial" w:cs="Arial"/>
          <w:sz w:val="18"/>
          <w:szCs w:val="18"/>
        </w:rPr>
        <w:t xml:space="preserve">(príloha č. </w:t>
      </w:r>
      <w:r w:rsidR="00E05738">
        <w:rPr>
          <w:rFonts w:ascii="Arial" w:eastAsia="Calibri" w:hAnsi="Arial" w:cs="Arial"/>
          <w:sz w:val="18"/>
          <w:szCs w:val="18"/>
        </w:rPr>
        <w:t>8</w:t>
      </w:r>
      <w:bookmarkStart w:id="0" w:name="_GoBack"/>
      <w:bookmarkEnd w:id="0"/>
      <w:r w:rsidR="00E05738">
        <w:rPr>
          <w:rFonts w:ascii="Arial" w:eastAsia="Calibri" w:hAnsi="Arial" w:cs="Arial"/>
          <w:sz w:val="18"/>
          <w:szCs w:val="18"/>
        </w:rPr>
        <w:t xml:space="preserve"> súťažných podkladov)</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77777777"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shd w:val="clear" w:color="auto" w:fill="auto"/>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shd w:val="clear" w:color="auto" w:fill="auto"/>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a.s.</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MUDr. Štefan Lukačín,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7777777"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0D1140" w14:paraId="6323AA3A" w14:textId="77777777" w:rsidTr="007A4FCF">
        <w:trPr>
          <w:trHeight w:val="142"/>
          <w:jc w:val="center"/>
        </w:trPr>
        <w:tc>
          <w:tcPr>
            <w:tcW w:w="4536" w:type="dxa"/>
            <w:tcBorders>
              <w:top w:val="single" w:sz="4" w:space="0" w:color="auto"/>
            </w:tcBorders>
            <w:shd w:val="clear" w:color="auto" w:fill="auto"/>
          </w:tcPr>
          <w:p w14:paraId="7998C3B0" w14:textId="77777777" w:rsidR="00992F85" w:rsidRPr="000D1140" w:rsidRDefault="00992F85" w:rsidP="002E774D">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74983AE2" w14:textId="77777777" w:rsidR="00992F85" w:rsidRPr="000D1140" w:rsidRDefault="00992F85" w:rsidP="002E774D">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a.s.</w:t>
            </w:r>
          </w:p>
          <w:p w14:paraId="0F17EB5D" w14:textId="77777777" w:rsidR="00992F85" w:rsidRDefault="00992F85" w:rsidP="002E774D">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MUDr. Peter Šafár, MHA</w:t>
            </w:r>
          </w:p>
          <w:p w14:paraId="23ACFA9F" w14:textId="77777777" w:rsidR="00992F85" w:rsidRPr="000D1140" w:rsidRDefault="00992F85" w:rsidP="002E774D">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člen predstavenstva</w:t>
            </w:r>
          </w:p>
        </w:tc>
        <w:tc>
          <w:tcPr>
            <w:tcW w:w="567" w:type="dxa"/>
            <w:shd w:val="clear" w:color="auto" w:fill="auto"/>
          </w:tcPr>
          <w:p w14:paraId="3E176334"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224599A2" w14:textId="77777777" w:rsidR="00992F85" w:rsidRPr="000D1140"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3A26F" w14:textId="77777777" w:rsidR="00602E89" w:rsidRDefault="00602E89">
      <w:pPr>
        <w:spacing w:after="0" w:line="240" w:lineRule="auto"/>
      </w:pPr>
      <w:r>
        <w:separator/>
      </w:r>
    </w:p>
  </w:endnote>
  <w:endnote w:type="continuationSeparator" w:id="0">
    <w:p w14:paraId="582F5ADF" w14:textId="77777777" w:rsidR="00602E89" w:rsidRDefault="0060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9391810"/>
      <w:docPartObj>
        <w:docPartGallery w:val="Page Numbers (Bottom of Page)"/>
        <w:docPartUnique/>
      </w:docPartObj>
    </w:sdtPr>
    <w:sdtEndPr>
      <w:rPr>
        <w:rFonts w:ascii="Arial" w:hAnsi="Arial" w:cs="Arial"/>
        <w:sz w:val="18"/>
      </w:rPr>
    </w:sdtEndPr>
    <w:sdtContent>
      <w:p w14:paraId="33D2B83F" w14:textId="5A792BB9" w:rsidR="00657BF5"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E05738">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21C26" w14:textId="77777777" w:rsidR="00602E89" w:rsidRDefault="00602E89">
      <w:pPr>
        <w:spacing w:after="0" w:line="240" w:lineRule="auto"/>
      </w:pPr>
      <w:r>
        <w:separator/>
      </w:r>
    </w:p>
  </w:footnote>
  <w:footnote w:type="continuationSeparator" w:id="0">
    <w:p w14:paraId="63302E19" w14:textId="77777777" w:rsidR="00602E89" w:rsidRDefault="00602E89">
      <w:pPr>
        <w:spacing w:after="0" w:line="240" w:lineRule="auto"/>
      </w:pPr>
      <w:r>
        <w:continuationSeparator/>
      </w:r>
    </w:p>
  </w:footnote>
  <w:footnote w:id="1">
    <w:p w14:paraId="01240A57" w14:textId="3B20A34B" w:rsidR="003B5EE7" w:rsidRPr="004C2FD9" w:rsidRDefault="003B5EE7">
      <w:pPr>
        <w:pStyle w:val="Textpoznmkypodiarou"/>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4C2FD9" w:rsidRPr="004C2FD9">
        <w:rPr>
          <w:rFonts w:ascii="Arial" w:hAnsi="Arial" w:cs="Arial"/>
          <w:sz w:val="16"/>
          <w:szCs w:val="16"/>
        </w:rPr>
        <w:t>Do tohto bodu predávajúci uvedie výslednú cenu, ktorú predložil vo svojej ponuke (v prípade realizácie EA výslednú cenu po elektronickej aukcii)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1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6"/>
  </w:num>
  <w:num w:numId="5">
    <w:abstractNumId w:val="7"/>
  </w:num>
  <w:num w:numId="6">
    <w:abstractNumId w:val="15"/>
  </w:num>
  <w:num w:numId="7">
    <w:abstractNumId w:val="9"/>
  </w:num>
  <w:num w:numId="8">
    <w:abstractNumId w:val="11"/>
  </w:num>
  <w:num w:numId="9">
    <w:abstractNumId w:val="10"/>
  </w:num>
  <w:num w:numId="10">
    <w:abstractNumId w:val="17"/>
  </w:num>
  <w:num w:numId="11">
    <w:abstractNumId w:val="1"/>
  </w:num>
  <w:num w:numId="12">
    <w:abstractNumId w:val="12"/>
  </w:num>
  <w:num w:numId="13">
    <w:abstractNumId w:val="2"/>
  </w:num>
  <w:num w:numId="14">
    <w:abstractNumId w:val="13"/>
  </w:num>
  <w:num w:numId="15">
    <w:abstractNumId w:val="8"/>
  </w:num>
  <w:num w:numId="16">
    <w:abstractNumId w:val="3"/>
  </w:num>
  <w:num w:numId="17">
    <w:abstractNumId w:val="0"/>
  </w:num>
  <w:num w:numId="18">
    <w:abstractNumId w:val="14"/>
  </w:num>
  <w:num w:numId="19">
    <w:abstractNumId w:val="19"/>
  </w:num>
  <w:num w:numId="20">
    <w:abstractNumId w:val="16"/>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85"/>
    <w:rsid w:val="00084B8E"/>
    <w:rsid w:val="000E1775"/>
    <w:rsid w:val="001B2F7B"/>
    <w:rsid w:val="003356C4"/>
    <w:rsid w:val="003671F7"/>
    <w:rsid w:val="003B5EE7"/>
    <w:rsid w:val="00431849"/>
    <w:rsid w:val="004C2FD9"/>
    <w:rsid w:val="0053711B"/>
    <w:rsid w:val="0055439D"/>
    <w:rsid w:val="005A38F4"/>
    <w:rsid w:val="00602E89"/>
    <w:rsid w:val="006759F8"/>
    <w:rsid w:val="007A4FCF"/>
    <w:rsid w:val="00992F85"/>
    <w:rsid w:val="00A8113D"/>
    <w:rsid w:val="00BA5F22"/>
    <w:rsid w:val="00C250EB"/>
    <w:rsid w:val="00CD66EB"/>
    <w:rsid w:val="00E05738"/>
    <w:rsid w:val="00E378B9"/>
    <w:rsid w:val="00F72BC9"/>
    <w:rsid w:val="00F86C47"/>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0271-4989-4EA1-9463-0BFB59D9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5056</Words>
  <Characters>28825</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Ing. Róbert Lucký</cp:lastModifiedBy>
  <cp:revision>3</cp:revision>
  <cp:lastPrinted>2024-10-11T10:07:00Z</cp:lastPrinted>
  <dcterms:created xsi:type="dcterms:W3CDTF">2024-10-30T07:10:00Z</dcterms:created>
  <dcterms:modified xsi:type="dcterms:W3CDTF">2024-12-03T09:21:00Z</dcterms:modified>
</cp:coreProperties>
</file>