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17F8A421" w14:textId="77777777" w:rsidR="00856142"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cich</w:t>
      </w:r>
      <w:r w:rsidRPr="008E2A79">
        <w:rPr>
          <w:rFonts w:ascii="Arial Narrow" w:hAnsi="Arial Narrow"/>
          <w:b/>
          <w:lang w:eastAsia="sk-SK"/>
        </w:rPr>
        <w:t xml:space="preserve"> </w:t>
      </w:r>
      <w:r>
        <w:rPr>
          <w:rFonts w:ascii="Arial Narrow" w:hAnsi="Arial Narrow"/>
          <w:b/>
          <w:lang w:eastAsia="sk-SK"/>
        </w:rPr>
        <w:t>päť rokov</w:t>
      </w:r>
      <w:r>
        <w:rPr>
          <w:rFonts w:ascii="Arial Narrow" w:hAnsi="Arial Narrow"/>
          <w:b/>
          <w:lang w:eastAsia="sk-SK"/>
        </w:rPr>
        <w:br/>
        <w:t>(60</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w:t>
      </w:r>
      <w:r w:rsidR="00856142" w:rsidRPr="00856142">
        <w:rPr>
          <w:rFonts w:ascii="Arial Narrow" w:hAnsi="Arial Narrow"/>
          <w:b/>
          <w:lang w:eastAsia="sk-SK"/>
        </w:rPr>
        <w:t xml:space="preserve"> dodal a sprevádzkoval min. 50 ks stacionárnych cestných rýchlomerov t. j.:</w:t>
      </w:r>
      <w:r w:rsidRPr="00856142">
        <w:rPr>
          <w:rFonts w:ascii="Arial Narrow" w:hAnsi="Arial Narrow"/>
          <w:b/>
          <w:lang w:eastAsia="sk-SK"/>
        </w:rPr>
        <w:t xml:space="preserve"> </w:t>
      </w:r>
    </w:p>
    <w:p w14:paraId="61F73311" w14:textId="77777777" w:rsidR="00856142" w:rsidRDefault="00856142" w:rsidP="00856142">
      <w:pPr>
        <w:pStyle w:val="Odsekzoznamu"/>
        <w:spacing w:after="0" w:line="240" w:lineRule="auto"/>
        <w:jc w:val="both"/>
        <w:rPr>
          <w:rFonts w:ascii="Arial Narrow" w:hAnsi="Arial Narrow"/>
          <w:lang w:eastAsia="sk-SK"/>
        </w:rPr>
      </w:pPr>
    </w:p>
    <w:p w14:paraId="784C10C8" w14:textId="3167460D" w:rsidR="00856142" w:rsidRPr="00856142" w:rsidRDefault="00856142" w:rsidP="00856142">
      <w:pPr>
        <w:pStyle w:val="Odsekzoznamu"/>
        <w:spacing w:after="0" w:line="240" w:lineRule="auto"/>
        <w:jc w:val="both"/>
        <w:rPr>
          <w:rFonts w:ascii="Arial Narrow" w:hAnsi="Arial Narrow"/>
          <w:lang w:eastAsia="sk-SK"/>
        </w:rPr>
      </w:pPr>
      <w:r w:rsidRPr="00856142">
        <w:rPr>
          <w:rFonts w:ascii="Arial Narrow" w:hAnsi="Arial Narrow"/>
          <w:b/>
          <w:lang w:eastAsia="sk-SK"/>
        </w:rPr>
        <w:t>a)</w:t>
      </w:r>
      <w:r w:rsidRPr="00856142">
        <w:rPr>
          <w:rFonts w:ascii="Arial Narrow" w:hAnsi="Arial Narrow"/>
          <w:lang w:eastAsia="sk-SK"/>
        </w:rPr>
        <w:t xml:space="preserve"> radarový rýchlomer, ktorý meria rýchlosť meraného vozidla na základe Dopplerovho javu alebo</w:t>
      </w:r>
    </w:p>
    <w:p w14:paraId="192CCC75" w14:textId="77777777" w:rsidR="00856142" w:rsidRPr="00856142" w:rsidRDefault="00856142" w:rsidP="00856142">
      <w:pPr>
        <w:pStyle w:val="Odsekzoznamu"/>
        <w:spacing w:after="0" w:line="240" w:lineRule="auto"/>
        <w:jc w:val="both"/>
        <w:rPr>
          <w:rFonts w:ascii="Arial Narrow" w:hAnsi="Arial Narrow"/>
          <w:lang w:eastAsia="sk-SK"/>
        </w:rPr>
      </w:pPr>
      <w:r w:rsidRPr="00856142">
        <w:rPr>
          <w:rFonts w:ascii="Arial Narrow" w:hAnsi="Arial Narrow"/>
          <w:b/>
          <w:lang w:eastAsia="sk-SK"/>
        </w:rPr>
        <w:t>b)</w:t>
      </w:r>
      <w:r w:rsidRPr="00856142">
        <w:rPr>
          <w:rFonts w:ascii="Arial Narrow" w:hAnsi="Arial Narrow"/>
          <w:lang w:eastAsia="sk-SK"/>
        </w:rPr>
        <w:t xml:space="preserve"> laserový rýchlomer, ktorý meria rýchlosť meraného vozidla na základe merania zmeny vzdialenosti medzi meraným objektom a meradlom v čase alebo</w:t>
      </w:r>
    </w:p>
    <w:p w14:paraId="3163A17B" w14:textId="660A5BBB" w:rsidR="00856142" w:rsidRDefault="00856142" w:rsidP="00856142">
      <w:pPr>
        <w:pStyle w:val="Odsekzoznamu"/>
        <w:spacing w:after="0" w:line="240" w:lineRule="auto"/>
        <w:jc w:val="both"/>
        <w:rPr>
          <w:rFonts w:ascii="Arial Narrow" w:hAnsi="Arial Narrow"/>
          <w:lang w:eastAsia="sk-SK"/>
        </w:rPr>
      </w:pPr>
      <w:r w:rsidRPr="00856142">
        <w:rPr>
          <w:rFonts w:ascii="Arial Narrow" w:hAnsi="Arial Narrow"/>
          <w:b/>
          <w:lang w:eastAsia="sk-SK"/>
        </w:rPr>
        <w:t>c)</w:t>
      </w:r>
      <w:r w:rsidRPr="00856142">
        <w:rPr>
          <w:rFonts w:ascii="Arial Narrow" w:hAnsi="Arial Narrow"/>
          <w:lang w:eastAsia="sk-SK"/>
        </w:rPr>
        <w:t xml:space="preserve"> cestné úsekové meradlo rýchlosti, ktoré meria priemernú úsekovú rýchlosť vozidla na základe merania času prejaz</w:t>
      </w:r>
      <w:r>
        <w:rPr>
          <w:rFonts w:ascii="Arial Narrow" w:hAnsi="Arial Narrow"/>
          <w:lang w:eastAsia="sk-SK"/>
        </w:rPr>
        <w:t>du meracím úsekom známej dĺžky,</w:t>
      </w:r>
      <w:r w:rsidR="005D3263">
        <w:rPr>
          <w:rFonts w:ascii="Arial Narrow" w:hAnsi="Arial Narrow"/>
          <w:lang w:eastAsia="sk-SK"/>
        </w:rPr>
        <w:t xml:space="preserve"> </w:t>
      </w:r>
      <w:r w:rsidRPr="00856142">
        <w:rPr>
          <w:rFonts w:ascii="Arial Narrow" w:hAnsi="Arial Narrow"/>
          <w:lang w:eastAsia="sk-SK"/>
        </w:rPr>
        <w:t>určených na meranie rýchlosti cestných vozidiel pre účely odhaľovania porušení pravidiel cestnej premávky a ich sankcionovanie (určené meradlo na úradné meranie rýchlosti vozidiel).</w:t>
      </w:r>
    </w:p>
    <w:p w14:paraId="0D3969F6" w14:textId="77777777" w:rsidR="00856142" w:rsidRDefault="00856142" w:rsidP="00856142">
      <w:pPr>
        <w:pStyle w:val="Odsekzoznamu"/>
        <w:spacing w:after="0" w:line="240" w:lineRule="auto"/>
        <w:jc w:val="both"/>
        <w:rPr>
          <w:rFonts w:ascii="Arial Narrow" w:hAnsi="Arial Narrow"/>
          <w:lang w:eastAsia="sk-SK"/>
        </w:rPr>
      </w:pPr>
    </w:p>
    <w:p w14:paraId="227277D7" w14:textId="093339B4" w:rsidR="00856142" w:rsidRPr="00856142" w:rsidRDefault="00856142" w:rsidP="00856142">
      <w:pPr>
        <w:pStyle w:val="Odsekzoznamu"/>
        <w:spacing w:after="0" w:line="240" w:lineRule="auto"/>
        <w:jc w:val="both"/>
        <w:rPr>
          <w:rFonts w:ascii="Arial Narrow" w:hAnsi="Arial Narrow"/>
          <w:lang w:eastAsia="sk-SK"/>
        </w:rPr>
      </w:pPr>
      <w:r w:rsidRPr="00856142">
        <w:rPr>
          <w:rFonts w:ascii="Arial Narrow" w:hAnsi="Arial Narrow"/>
          <w:lang w:eastAsia="sk-SK"/>
        </w:rPr>
        <w:t>Verejný obstarávateľ akceptuje aj prípadnú kombináciu predchádzajúcich rýchlomerov, za podmienky splnenia požadovaného množstva.</w:t>
      </w:r>
    </w:p>
    <w:p w14:paraId="511C486D" w14:textId="45066AB1" w:rsidR="00856142" w:rsidRDefault="00856142" w:rsidP="00856142">
      <w:pPr>
        <w:pStyle w:val="Odsekzoznamu"/>
        <w:spacing w:after="0" w:line="240" w:lineRule="auto"/>
        <w:jc w:val="both"/>
        <w:rPr>
          <w:rFonts w:ascii="Arial Narrow" w:hAnsi="Arial Narrow"/>
          <w:lang w:eastAsia="sk-SK"/>
        </w:rPr>
      </w:pPr>
      <w:r w:rsidRPr="00856142">
        <w:rPr>
          <w:rFonts w:ascii="Arial Narrow" w:hAnsi="Arial Narrow"/>
          <w:lang w:eastAsia="sk-SK"/>
        </w:rPr>
        <w:t>Stacionárnym rýchlomerom sa rozumie rýchlomer určený na pevnú inštaláciu na definovanom stacionárnom stanovisku.</w:t>
      </w:r>
    </w:p>
    <w:p w14:paraId="577AF58B" w14:textId="643F7717" w:rsidR="00856142" w:rsidRDefault="00856142" w:rsidP="007076DE">
      <w:pPr>
        <w:pStyle w:val="Odsekzoznamu"/>
        <w:spacing w:after="0" w:line="240" w:lineRule="auto"/>
        <w:ind w:left="0"/>
        <w:contextualSpacing w:val="0"/>
        <w:jc w:val="both"/>
        <w:rPr>
          <w:rFonts w:ascii="Arial Narrow" w:hAnsi="Arial Narrow"/>
          <w:lang w:eastAsia="sk-SK"/>
        </w:rPr>
      </w:pPr>
    </w:p>
    <w:p w14:paraId="71C8A8AF" w14:textId="77777777" w:rsidR="00856142" w:rsidRDefault="00856142" w:rsidP="007076DE">
      <w:pPr>
        <w:pStyle w:val="Odsekzoznamu"/>
        <w:spacing w:after="0" w:line="240" w:lineRule="auto"/>
        <w:ind w:left="0"/>
        <w:contextualSpacing w:val="0"/>
        <w:jc w:val="both"/>
        <w:rPr>
          <w:rFonts w:ascii="Arial Narrow" w:hAnsi="Arial Narrow"/>
          <w:lang w:eastAsia="sk-SK"/>
        </w:rPr>
      </w:pPr>
    </w:p>
    <w:p w14:paraId="21AA85DB" w14:textId="77777777" w:rsidR="00856142" w:rsidRDefault="00856142" w:rsidP="007076DE">
      <w:pPr>
        <w:pStyle w:val="Odsekzoznamu"/>
        <w:spacing w:after="0" w:line="240" w:lineRule="auto"/>
        <w:ind w:left="0"/>
        <w:contextualSpacing w:val="0"/>
        <w:jc w:val="both"/>
        <w:rPr>
          <w:rFonts w:ascii="Arial Narrow" w:hAnsi="Arial Narrow"/>
          <w:lang w:eastAsia="sk-SK"/>
        </w:rPr>
      </w:pPr>
    </w:p>
    <w:p w14:paraId="68DD018D" w14:textId="51E38D24" w:rsidR="007076DE" w:rsidRPr="000323E7" w:rsidRDefault="007076DE" w:rsidP="007076DE">
      <w:pPr>
        <w:pStyle w:val="Odsekzoznamu"/>
        <w:spacing w:after="0" w:line="240" w:lineRule="auto"/>
        <w:ind w:left="0"/>
        <w:contextualSpacing w:val="0"/>
        <w:jc w:val="both"/>
        <w:rPr>
          <w:rFonts w:ascii="Arial Narrow" w:hAnsi="Arial Narrow"/>
          <w:lang w:eastAsia="sk-SK"/>
        </w:rPr>
      </w:pPr>
      <w:r>
        <w:rPr>
          <w:rFonts w:ascii="Arial Narrow" w:hAnsi="Arial Narrow"/>
          <w:lang w:eastAsia="sk-SK"/>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412883D5" w14:textId="77777777" w:rsidR="005D3263"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termín skutočného dodania</w:t>
      </w:r>
    </w:p>
    <w:p w14:paraId="54C6CCFE" w14:textId="4B5A264F" w:rsidR="007076DE" w:rsidRDefault="005D3263" w:rsidP="005D3263">
      <w:pPr>
        <w:pStyle w:val="Odsekzoznamu"/>
        <w:numPr>
          <w:ilvl w:val="1"/>
          <w:numId w:val="18"/>
        </w:numPr>
        <w:spacing w:after="0" w:line="240" w:lineRule="auto"/>
        <w:ind w:left="284" w:hanging="284"/>
        <w:contextualSpacing w:val="0"/>
        <w:rPr>
          <w:rFonts w:ascii="Arial Narrow" w:hAnsi="Arial Narrow"/>
          <w:lang w:eastAsia="sk-SK"/>
        </w:rPr>
      </w:pPr>
      <w:r w:rsidRPr="005D3263">
        <w:rPr>
          <w:rFonts w:ascii="Arial Narrow" w:hAnsi="Arial Narrow"/>
          <w:lang w:eastAsia="sk-SK"/>
        </w:rPr>
        <w:t>hodnotenie plnenia - najmä hodnotenie, či plnenie bolo dodané v rozsahu, kvalite a spôsobom podľa zmluvy a či celkovo bolo uspokojivé alebo neuspokojivé</w:t>
      </w:r>
      <w:r w:rsidR="007076DE">
        <w:rPr>
          <w:rFonts w:ascii="Arial Narrow" w:hAnsi="Arial Narrow"/>
          <w:lang w:eastAsia="sk-SK"/>
        </w:rPr>
        <w:t xml:space="preserve"> </w:t>
      </w:r>
    </w:p>
    <w:p w14:paraId="69B30104" w14:textId="16B9B24E" w:rsidR="007076DE"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6CFA15FA" w14:textId="1C1D4A02" w:rsidR="005D3263" w:rsidRPr="009A66A2" w:rsidRDefault="005D3263"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dátum vyhotovenia referencie</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3A58C248" w14:textId="77777777" w:rsidR="007076DE" w:rsidRDefault="007076DE" w:rsidP="007076DE">
      <w:pPr>
        <w:pStyle w:val="Odsekzoznamu"/>
        <w:spacing w:after="0" w:line="240" w:lineRule="auto"/>
        <w:ind w:left="0"/>
        <w:contextualSpacing w:val="0"/>
        <w:jc w:val="both"/>
        <w:rPr>
          <w:rFonts w:ascii="Arial Narrow" w:hAnsi="Arial Narrow"/>
          <w:b/>
          <w:lang w:eastAsia="sk-SK"/>
        </w:rPr>
      </w:pPr>
    </w:p>
    <w:p w14:paraId="7A222436" w14:textId="77777777" w:rsidR="007076DE" w:rsidRDefault="007076DE" w:rsidP="007076DE">
      <w:pPr>
        <w:pStyle w:val="Odsekzoznamu"/>
        <w:spacing w:after="0" w:line="240" w:lineRule="auto"/>
        <w:ind w:left="0"/>
        <w:contextualSpacing w:val="0"/>
        <w:jc w:val="both"/>
        <w:rPr>
          <w:rFonts w:ascii="Arial Narrow" w:hAnsi="Arial Narrow"/>
          <w:b/>
          <w:lang w:eastAsia="sk-SK"/>
        </w:rPr>
      </w:pPr>
      <w:r>
        <w:rPr>
          <w:rFonts w:ascii="Arial Narrow" w:hAnsi="Arial Narrow"/>
          <w:b/>
          <w:lang w:eastAsia="sk-SK"/>
        </w:rPr>
        <w:t>Informácia:</w:t>
      </w:r>
    </w:p>
    <w:p w14:paraId="5AFA6578" w14:textId="1527AB3E" w:rsidR="007076DE" w:rsidRDefault="007076DE" w:rsidP="007076DE">
      <w:pPr>
        <w:pStyle w:val="Odsekzoznamu"/>
        <w:spacing w:after="0" w:line="240" w:lineRule="auto"/>
        <w:ind w:left="0"/>
        <w:contextualSpacing w:val="0"/>
        <w:jc w:val="both"/>
        <w:rPr>
          <w:rFonts w:ascii="Arial Narrow" w:hAnsi="Arial Narrow"/>
          <w:lang w:eastAsia="sk-SK"/>
        </w:rPr>
      </w:pPr>
      <w:r w:rsidRPr="00861649">
        <w:rPr>
          <w:rFonts w:ascii="Arial Narrow" w:hAnsi="Arial Narrow"/>
          <w:lang w:eastAsia="sk-SK"/>
        </w:rPr>
        <w:t xml:space="preserve">Verejný obstarávateľ, vychádzajúc zo špecifík </w:t>
      </w:r>
      <w:r>
        <w:rPr>
          <w:rFonts w:ascii="Arial Narrow" w:hAnsi="Arial Narrow"/>
          <w:lang w:eastAsia="sk-SK"/>
        </w:rPr>
        <w:t>predmetu zákazky</w:t>
      </w:r>
      <w:r w:rsidRPr="00861649">
        <w:rPr>
          <w:rFonts w:ascii="Arial Narrow" w:hAnsi="Arial Narrow"/>
          <w:lang w:eastAsia="sk-SK"/>
        </w:rPr>
        <w:t xml:space="preserve">, určil v súlade s § 34 ods. 2 zákona za účelom zaistenia čo možno najväčšej a najširšej úrovne hospodárskej súťaže dlhšiu dobu ako je doba podľa § 34 ods. 1 písm. a) zákona, a to na </w:t>
      </w:r>
      <w:r>
        <w:rPr>
          <w:rFonts w:ascii="Arial Narrow" w:hAnsi="Arial Narrow"/>
          <w:lang w:eastAsia="sk-SK"/>
        </w:rPr>
        <w:t>5</w:t>
      </w:r>
      <w:r w:rsidRPr="00861649">
        <w:rPr>
          <w:rFonts w:ascii="Arial Narrow" w:hAnsi="Arial Narrow"/>
          <w:lang w:eastAsia="sk-SK"/>
        </w:rPr>
        <w:t xml:space="preserve"> rokov od vyhlásenia verejného obstarávania.</w:t>
      </w:r>
      <w:r w:rsidR="005D3263">
        <w:rPr>
          <w:rFonts w:ascii="Arial Narrow" w:hAnsi="Arial Narrow"/>
          <w:lang w:eastAsia="sk-SK"/>
        </w:rPr>
        <w:t xml:space="preserve"> </w:t>
      </w:r>
    </w:p>
    <w:p w14:paraId="1C992611" w14:textId="7A7B6396" w:rsidR="005D3263" w:rsidRDefault="005D3263" w:rsidP="007076DE">
      <w:pPr>
        <w:pStyle w:val="Odsekzoznamu"/>
        <w:spacing w:after="0" w:line="240" w:lineRule="auto"/>
        <w:ind w:left="0"/>
        <w:contextualSpacing w:val="0"/>
        <w:jc w:val="both"/>
        <w:rPr>
          <w:rFonts w:ascii="Arial Narrow" w:hAnsi="Arial Narrow"/>
          <w:lang w:eastAsia="sk-SK"/>
        </w:rPr>
      </w:pPr>
    </w:p>
    <w:p w14:paraId="6AA86255" w14:textId="190A3D61" w:rsidR="005D3263" w:rsidRDefault="005D3263" w:rsidP="007076DE">
      <w:pPr>
        <w:pStyle w:val="Odsekzoznamu"/>
        <w:spacing w:after="0" w:line="240" w:lineRule="auto"/>
        <w:ind w:left="0"/>
        <w:contextualSpacing w:val="0"/>
        <w:jc w:val="both"/>
        <w:rPr>
          <w:rFonts w:ascii="Arial Narrow" w:hAnsi="Arial Narrow"/>
          <w:lang w:eastAsia="sk-SK"/>
        </w:rPr>
      </w:pPr>
      <w:r>
        <w:rPr>
          <w:rFonts w:ascii="Arial Narrow" w:hAnsi="Arial Narrow"/>
          <w:lang w:eastAsia="sk-SK"/>
        </w:rPr>
        <w:t xml:space="preserve">3.2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xml:space="preserve">§ 34 ods. 1 písm. </w:t>
      </w:r>
      <w:r>
        <w:rPr>
          <w:rFonts w:ascii="Arial Narrow" w:hAnsi="Arial Narrow"/>
          <w:b/>
          <w:lang w:eastAsia="sk-SK"/>
        </w:rPr>
        <w:t>d</w:t>
      </w:r>
      <w:r w:rsidRPr="000323E7">
        <w:rPr>
          <w:rFonts w:ascii="Arial Narrow" w:hAnsi="Arial Narrow"/>
          <w:b/>
          <w:lang w:eastAsia="sk-SK"/>
        </w:rPr>
        <w:t>) zákona</w:t>
      </w:r>
      <w:r>
        <w:rPr>
          <w:rFonts w:ascii="Arial Narrow" w:hAnsi="Arial Narrow"/>
          <w:lang w:eastAsia="sk-SK"/>
        </w:rPr>
        <w:t>:</w:t>
      </w:r>
    </w:p>
    <w:p w14:paraId="38E1711B" w14:textId="77777777" w:rsidR="005D3263" w:rsidRPr="007076DE" w:rsidRDefault="005D3263" w:rsidP="007076DE">
      <w:pPr>
        <w:pStyle w:val="Odsekzoznamu"/>
        <w:spacing w:after="0" w:line="240" w:lineRule="auto"/>
        <w:ind w:left="0"/>
        <w:contextualSpacing w:val="0"/>
        <w:jc w:val="both"/>
        <w:rPr>
          <w:rFonts w:ascii="Arial Narrow" w:hAnsi="Arial Narrow"/>
          <w:lang w:eastAsia="sk-SK"/>
        </w:rPr>
      </w:pPr>
    </w:p>
    <w:p w14:paraId="6650E052" w14:textId="77777777" w:rsidR="005D3263" w:rsidRPr="005D3263" w:rsidRDefault="005D3263" w:rsidP="005D3263">
      <w:pPr>
        <w:spacing w:after="0" w:line="240" w:lineRule="auto"/>
        <w:jc w:val="both"/>
        <w:rPr>
          <w:rFonts w:ascii="Arial Narrow" w:hAnsi="Arial Narrow" w:cs="Arial"/>
          <w:b/>
          <w:bCs/>
        </w:rPr>
      </w:pPr>
      <w:r w:rsidRPr="005D3263">
        <w:rPr>
          <w:rFonts w:ascii="Arial Narrow" w:hAnsi="Arial Narrow" w:cs="Arial"/>
        </w:rPr>
        <w:t>a) U</w:t>
      </w:r>
      <w:r w:rsidRPr="005D3263">
        <w:rPr>
          <w:rFonts w:ascii="Arial Narrow" w:hAnsi="Arial Narrow" w:cs="Arial"/>
          <w:b/>
          <w:bCs/>
        </w:rPr>
        <w:t xml:space="preserve">chádzač musí spĺňať požiadavky normy EN ISO 9001:2015 na systém manažérstva kvality. Uchádzač predloží platný certifikát podľa EN ISO 9001:2015 vydaný nezávislou inštitúciou, ktorým preukáže, že uchádzač má zavedený a používa systém manažérstva kvality. </w:t>
      </w:r>
    </w:p>
    <w:p w14:paraId="4AC30688" w14:textId="1ED3A06D" w:rsidR="005D3263" w:rsidRDefault="005D3263" w:rsidP="005D3263">
      <w:pPr>
        <w:spacing w:before="300" w:after="300" w:line="240" w:lineRule="auto"/>
        <w:rPr>
          <w:rFonts w:ascii="Arial Narrow" w:hAnsi="Arial Narrow" w:cs="Arial"/>
        </w:rPr>
      </w:pPr>
      <w:r w:rsidRPr="005D3263">
        <w:rPr>
          <w:rFonts w:ascii="Arial Narrow" w:hAnsi="Arial Narrow" w:cs="Arial"/>
        </w:rPr>
        <w:t xml:space="preserve">b) </w:t>
      </w:r>
      <w:r w:rsidRPr="005D3263">
        <w:rPr>
          <w:rFonts w:ascii="Arial Narrow" w:hAnsi="Arial Narrow" w:cs="Arial"/>
          <w:b/>
          <w:bCs/>
        </w:rPr>
        <w:t>Uchádzač musí spĺňať požiadavky normy ISO/IEC 27001 na systém manažmentu bezpečnosti informácií. Uchádzač predloží platný certifikát podľa ISO/IEC 27001 vydaný nezávislou inštitúciou, ktorým preukáže, že uchádzač má zavedený a používa systém manažérstva kvality</w:t>
      </w:r>
      <w:r w:rsidRPr="005D3263">
        <w:rPr>
          <w:rFonts w:ascii="Arial Narrow" w:hAnsi="Arial Narrow" w:cs="Arial"/>
          <w:b/>
          <w:bCs/>
          <w:color w:val="FF0000"/>
        </w:rPr>
        <w:t xml:space="preserve"> </w:t>
      </w:r>
      <w:r w:rsidRPr="005D3263">
        <w:rPr>
          <w:rFonts w:ascii="Arial Narrow" w:hAnsi="Arial Narrow" w:cs="Arial"/>
        </w:rPr>
        <w:t>v oblasti manažmentu bezpečnosti informácií.</w:t>
      </w:r>
    </w:p>
    <w:p w14:paraId="182CA8E5" w14:textId="332E2C5A" w:rsidR="007076DE" w:rsidRDefault="00352B3E" w:rsidP="00352B3E">
      <w:pPr>
        <w:spacing w:before="300" w:after="300" w:line="240" w:lineRule="auto"/>
        <w:rPr>
          <w:rFonts w:ascii="Arial Narrow" w:hAnsi="Arial Narrow"/>
          <w:lang w:eastAsia="sk-SK"/>
        </w:rPr>
      </w:pPr>
      <w:r w:rsidRPr="00352B3E">
        <w:rPr>
          <w:rFonts w:ascii="Arial Narrow" w:hAnsi="Arial Narrow"/>
          <w:lang w:eastAsia="sk-SK"/>
        </w:rPr>
        <w:t>Verejný obstarávateľ uzná ako rovnocenný certifikát systému manažérstva kvality vydaný príslušným orgánom členského štátu.</w:t>
      </w:r>
    </w:p>
    <w:p w14:paraId="0D685310" w14:textId="77777777" w:rsidR="00352B3E" w:rsidRPr="00352B3E" w:rsidRDefault="00352B3E" w:rsidP="00352B3E">
      <w:pPr>
        <w:spacing w:before="300" w:after="300" w:line="240" w:lineRule="auto"/>
        <w:rPr>
          <w:rFonts w:ascii="Arial Narrow" w:hAnsi="Arial Narrow"/>
          <w:lang w:eastAsia="sk-SK"/>
        </w:rPr>
      </w:pPr>
      <w:bookmarkStart w:id="0" w:name="_GoBack"/>
      <w:bookmarkEnd w:id="0"/>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 xml:space="preserve">ak uchádzač </w:t>
      </w:r>
      <w:r w:rsidRPr="00152064">
        <w:rPr>
          <w:rStyle w:val="Jemnzvraznenie"/>
          <w:rFonts w:ascii="Arial Narrow" w:hAnsi="Arial Narrow"/>
          <w:bCs/>
          <w:sz w:val="22"/>
        </w:rPr>
        <w:lastRenderedPageBreak/>
        <w:t>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A4C37" w14:textId="77777777" w:rsidR="00F350AB" w:rsidRDefault="00F350AB" w:rsidP="00CF3803">
      <w:pPr>
        <w:spacing w:after="0" w:line="240" w:lineRule="auto"/>
      </w:pPr>
      <w:r>
        <w:separator/>
      </w:r>
    </w:p>
  </w:endnote>
  <w:endnote w:type="continuationSeparator" w:id="0">
    <w:p w14:paraId="66AC5E9D" w14:textId="77777777" w:rsidR="00F350AB" w:rsidRDefault="00F350A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566DB79C" w:rsidR="00AF7F2F" w:rsidRDefault="00AF7F2F">
        <w:pPr>
          <w:pStyle w:val="Pta"/>
          <w:jc w:val="center"/>
        </w:pPr>
        <w:r>
          <w:fldChar w:fldCharType="begin"/>
        </w:r>
        <w:r>
          <w:instrText>PAGE   \* MERGEFORMAT</w:instrText>
        </w:r>
        <w:r>
          <w:fldChar w:fldCharType="separate"/>
        </w:r>
        <w:r w:rsidR="00352B3E">
          <w:rPr>
            <w:noProof/>
          </w:rPr>
          <w:t>1</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E46A4" w14:textId="77777777" w:rsidR="00F350AB" w:rsidRDefault="00F350AB" w:rsidP="00CF3803">
      <w:pPr>
        <w:spacing w:after="0" w:line="240" w:lineRule="auto"/>
      </w:pPr>
      <w:r>
        <w:separator/>
      </w:r>
    </w:p>
  </w:footnote>
  <w:footnote w:type="continuationSeparator" w:id="0">
    <w:p w14:paraId="76D06DE2" w14:textId="77777777" w:rsidR="00F350AB" w:rsidRDefault="00F350A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2B3E"/>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D3263"/>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142"/>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A7B6B-24E3-46A2-9DC7-2BD6E522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2000</Words>
  <Characters>12283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Tomáš Kundrát</cp:lastModifiedBy>
  <cp:revision>14</cp:revision>
  <cp:lastPrinted>2022-01-18T07:35:00Z</cp:lastPrinted>
  <dcterms:created xsi:type="dcterms:W3CDTF">2024-07-26T14:11:00Z</dcterms:created>
  <dcterms:modified xsi:type="dcterms:W3CDTF">2024-08-23T07:53:00Z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