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5DE37F66"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8E2302">
        <w:rPr>
          <w:rFonts w:cs="Arial"/>
          <w:szCs w:val="20"/>
        </w:rPr>
        <w:t>15</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7506DC">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637227A8"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D5EF49C"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6772CC24"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344FD8B8"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49FE076"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3A9485E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55E1550F" w:rsidR="00A907C2" w:rsidRPr="00423A44" w:rsidRDefault="00A907C2" w:rsidP="00D01CF9">
            <w:pPr>
              <w:spacing w:after="0" w:line="360" w:lineRule="auto"/>
              <w:jc w:val="both"/>
              <w:rPr>
                <w:rFonts w:cs="Arial"/>
                <w:szCs w:val="20"/>
              </w:rPr>
            </w:pPr>
            <w:r w:rsidRPr="00423A44">
              <w:rPr>
                <w:rFonts w:cs="Arial"/>
                <w:szCs w:val="20"/>
              </w:rPr>
              <w:t xml:space="preserve">obchodná spoločnosť zapísaná v obchodnom registri SR, vedenom Okresným súdom </w:t>
            </w:r>
            <w:r w:rsidR="00D01CF9">
              <w:rPr>
                <w:rFonts w:cs="Arial"/>
                <w:szCs w:val="20"/>
              </w:rPr>
              <w:t>.....</w:t>
            </w:r>
            <w:r w:rsidRPr="00423A44">
              <w:rPr>
                <w:rFonts w:cs="Arial"/>
                <w:szCs w:val="20"/>
              </w:rPr>
              <w:t>, oddiel:  vložka č.:</w:t>
            </w:r>
            <w:r w:rsidR="00D01CF9">
              <w:rPr>
                <w:rFonts w:cs="Arial"/>
                <w:szCs w:val="20"/>
              </w:rPr>
              <w:t>..................</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7190A6B3"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CF0448">
        <w:rPr>
          <w:rFonts w:ascii="Arial" w:hAnsi="Arial" w:cs="Arial"/>
          <w:sz w:val="20"/>
          <w:lang w:val="sk-SK"/>
        </w:rPr>
        <w:t>LS </w:t>
      </w:r>
      <w:r w:rsidR="008E2302">
        <w:rPr>
          <w:rFonts w:ascii="Arial" w:hAnsi="Arial" w:cs="Arial"/>
          <w:sz w:val="20"/>
          <w:lang w:val="sk-SK"/>
        </w:rPr>
        <w:t>Remetské Hámre</w:t>
      </w:r>
      <w:r w:rsidR="00CF0448">
        <w:rPr>
          <w:rFonts w:ascii="Arial" w:hAnsi="Arial" w:cs="Arial"/>
          <w:sz w:val="20"/>
          <w:lang w:val="sk-SK"/>
        </w:rPr>
        <w:t xml:space="preserve"> </w:t>
      </w:r>
      <w:r w:rsidR="00D10957" w:rsidRPr="00D10957">
        <w:rPr>
          <w:rFonts w:ascii="Arial" w:hAnsi="Arial" w:cs="Arial"/>
          <w:sz w:val="20"/>
          <w:lang w:val="sk-SK"/>
        </w:rPr>
        <w:t xml:space="preserve">LO </w:t>
      </w:r>
      <w:r w:rsidR="008E2302">
        <w:rPr>
          <w:rFonts w:ascii="Arial" w:hAnsi="Arial" w:cs="Arial"/>
          <w:sz w:val="20"/>
          <w:lang w:val="sk-SK"/>
        </w:rPr>
        <w:t xml:space="preserve">Zlom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3BE34C81"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6F6F07B" w:rsidR="00CB3C2C" w:rsidRPr="00423A44" w:rsidRDefault="00CB3C2C" w:rsidP="007506DC">
            <w:pPr>
              <w:spacing w:after="0" w:line="360" w:lineRule="auto"/>
              <w:ind w:left="-362" w:hanging="79"/>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6BDA6665"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65936BB2" w:rsidR="00CB3C2C" w:rsidRPr="00423A44" w:rsidRDefault="00CB3C2C" w:rsidP="007506DC">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492EC821"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224A8572" w:rsidR="00CB3C2C" w:rsidRPr="00423A44" w:rsidRDefault="00CB3C2C" w:rsidP="007506DC">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423A44">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lastRenderedPageBreak/>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lastRenderedPageBreak/>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3C20E41F" w:rsidR="00A907C2" w:rsidRPr="00423A44" w:rsidRDefault="00A907C2" w:rsidP="00D01CF9">
            <w:pPr>
              <w:pStyle w:val="Bezriadkovania"/>
              <w:rPr>
                <w:rFonts w:ascii="Arial" w:hAnsi="Arial" w:cs="Arial"/>
                <w:sz w:val="20"/>
                <w:lang w:val="sk-SK"/>
              </w:rPr>
            </w:pPr>
            <w:r w:rsidRPr="00423A44">
              <w:rPr>
                <w:rFonts w:ascii="Arial" w:hAnsi="Arial" w:cs="Arial"/>
                <w:sz w:val="20"/>
                <w:lang w:val="sk-SK"/>
              </w:rPr>
              <w:t>V</w:t>
            </w:r>
            <w:r w:rsidR="007506DC">
              <w:rPr>
                <w:rFonts w:ascii="Arial" w:hAnsi="Arial" w:cs="Arial"/>
                <w:sz w:val="20"/>
                <w:lang w:val="sk-SK"/>
              </w:rPr>
              <w:t xml:space="preserve"> </w:t>
            </w:r>
            <w:r w:rsidR="00D01CF9">
              <w:rPr>
                <w:rFonts w:ascii="Arial" w:hAnsi="Arial" w:cs="Arial"/>
                <w:sz w:val="20"/>
                <w:lang w:val="sk-SK"/>
              </w:rPr>
              <w:t>.................</w:t>
            </w:r>
            <w:r w:rsidRPr="00423A44">
              <w:rPr>
                <w:rFonts w:ascii="Arial" w:hAnsi="Arial" w:cs="Arial"/>
                <w:sz w:val="20"/>
                <w:lang w:val="sk-SK"/>
              </w:rPr>
              <w:t>,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1601A879" w14:textId="45D8A046" w:rsidR="000F08A2" w:rsidRPr="00423A44" w:rsidRDefault="000F08A2" w:rsidP="007506DC">
            <w:pPr>
              <w:spacing w:after="0"/>
              <w:jc w:val="center"/>
              <w:rPr>
                <w:rFonts w:cs="Arial"/>
                <w:szCs w:val="20"/>
              </w:rPr>
            </w:pPr>
            <w:r>
              <w:rPr>
                <w:rFonts w:cs="Arial"/>
                <w:szCs w:val="20"/>
              </w:rPr>
              <w:t>konateľ</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lastRenderedPageBreak/>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423A44">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506DC" w:rsidRPr="00065837" w:rsidRDefault="007506DC"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506DC" w:rsidRPr="00065837" w:rsidRDefault="007506DC"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506DC" w:rsidRPr="00065837" w:rsidRDefault="007506DC"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506DC" w:rsidRPr="00065837" w:rsidRDefault="007506DC"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506DC" w:rsidRPr="008E141A" w:rsidRDefault="007506DC" w:rsidP="007C644B">
                            <w:pPr>
                              <w:jc w:val="center"/>
                              <w:rPr>
                                <w:caps/>
                                <w:sz w:val="16"/>
                                <w:szCs w:val="16"/>
                              </w:rPr>
                            </w:pPr>
                          </w:p>
                          <w:p w14:paraId="34B19ADF" w14:textId="77777777" w:rsidR="007506DC" w:rsidRPr="00065837" w:rsidRDefault="007506DC"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506DC" w:rsidRPr="008E141A" w:rsidRDefault="007506DC" w:rsidP="007C644B">
                      <w:pPr>
                        <w:jc w:val="center"/>
                        <w:rPr>
                          <w:caps/>
                          <w:sz w:val="16"/>
                          <w:szCs w:val="16"/>
                        </w:rPr>
                      </w:pPr>
                    </w:p>
                    <w:p w14:paraId="34B19ADF" w14:textId="77777777" w:rsidR="007506DC" w:rsidRPr="00065837" w:rsidRDefault="007506DC"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lastRenderedPageBreak/>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 xml:space="preserve">Manipulácia s drevom a uskladňovanie dreva v manipulačno-expedičnom sklade sa vykonáva podľa prevádzkovo-bezpečnostného poriadku; technologický protokol sa </w:t>
      </w:r>
      <w:r w:rsidRPr="00423A44">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lastRenderedPageBreak/>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lastRenderedPageBreak/>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predpokladá sa, že lesná dopravná sieť je v dobrom stave zodpovedajúcom bežnému opotrebeniu. Ak dodávateľ zistí pred začatím prác, že niektorá z ciest alebo jej časť je </w:t>
      </w:r>
      <w:r w:rsidRPr="00423A44">
        <w:rPr>
          <w:noProof/>
          <w:sz w:val="20"/>
          <w:szCs w:val="20"/>
        </w:rPr>
        <w:lastRenderedPageBreak/>
        <w:t>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694A2D19" w14:textId="1B5F3A1E" w:rsidR="008E2302" w:rsidRPr="008E2302" w:rsidRDefault="00044AE8" w:rsidP="008E2302">
      <w:pPr>
        <w:spacing w:after="0"/>
        <w:rPr>
          <w:rFonts w:cs="Arial"/>
          <w:noProof/>
          <w:szCs w:val="20"/>
        </w:rPr>
      </w:pPr>
      <w:r>
        <w:rPr>
          <w:rFonts w:cs="Arial"/>
          <w:noProof/>
          <w:szCs w:val="20"/>
        </w:rPr>
        <w:t xml:space="preserve">             </w:t>
      </w:r>
      <w:r w:rsidR="008E2302" w:rsidRPr="008E2302">
        <w:rPr>
          <w:rFonts w:cs="Arial"/>
          <w:noProof/>
          <w:szCs w:val="20"/>
        </w:rPr>
        <w:t>Vedúci LS  Ing. Martin Kráľ</w:t>
      </w:r>
      <w:r w:rsidR="008E2302" w:rsidRPr="008E2302">
        <w:rPr>
          <w:rFonts w:cs="Arial"/>
          <w:noProof/>
          <w:szCs w:val="20"/>
        </w:rPr>
        <w:tab/>
      </w:r>
      <w:r w:rsidR="008E2302">
        <w:rPr>
          <w:rFonts w:cs="Arial"/>
          <w:noProof/>
          <w:szCs w:val="20"/>
        </w:rPr>
        <w:t xml:space="preserve">                 </w:t>
      </w:r>
      <w:r w:rsidR="008E2302" w:rsidRPr="008E2302">
        <w:rPr>
          <w:rFonts w:cs="Arial"/>
          <w:noProof/>
          <w:szCs w:val="20"/>
        </w:rPr>
        <w:t>0918333801</w:t>
      </w:r>
    </w:p>
    <w:p w14:paraId="700D9C23" w14:textId="4C59813A" w:rsidR="008E2302" w:rsidRDefault="008E2302" w:rsidP="008E2302">
      <w:pPr>
        <w:spacing w:after="0"/>
        <w:rPr>
          <w:rFonts w:cs="Arial"/>
          <w:noProof/>
          <w:szCs w:val="20"/>
        </w:rPr>
      </w:pPr>
      <w:r w:rsidRPr="008E2302">
        <w:rPr>
          <w:rFonts w:cs="Arial"/>
          <w:noProof/>
          <w:szCs w:val="20"/>
        </w:rPr>
        <w:t xml:space="preserve">            Technik ŤČ Ing. Marek Sejna</w:t>
      </w:r>
      <w:r w:rsidRPr="008E2302">
        <w:rPr>
          <w:rFonts w:cs="Arial"/>
          <w:noProof/>
          <w:szCs w:val="20"/>
        </w:rPr>
        <w:tab/>
      </w:r>
      <w:r>
        <w:rPr>
          <w:rFonts w:cs="Arial"/>
          <w:noProof/>
          <w:szCs w:val="20"/>
        </w:rPr>
        <w:t xml:space="preserve">                 </w:t>
      </w:r>
      <w:r w:rsidRPr="008E2302">
        <w:rPr>
          <w:rFonts w:cs="Arial"/>
          <w:noProof/>
          <w:szCs w:val="20"/>
        </w:rPr>
        <w:t>0918335299</w:t>
      </w:r>
    </w:p>
    <w:p w14:paraId="3E181362" w14:textId="43BE213B" w:rsidR="007C644B" w:rsidRPr="00423A44" w:rsidRDefault="007C644B" w:rsidP="008E2302">
      <w:pPr>
        <w:spacing w:after="0"/>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10264B9C" w:rsidR="007C644B" w:rsidRPr="00423A44" w:rsidRDefault="007C644B" w:rsidP="008E2302">
            <w:pPr>
              <w:pStyle w:val="Bezriadkovania"/>
              <w:rPr>
                <w:rFonts w:ascii="Arial" w:hAnsi="Arial" w:cs="Arial"/>
                <w:sz w:val="20"/>
                <w:lang w:val="sk-SK"/>
              </w:rPr>
            </w:pPr>
            <w:r w:rsidRPr="00423A44">
              <w:rPr>
                <w:rFonts w:ascii="Arial" w:hAnsi="Arial" w:cs="Arial"/>
                <w:sz w:val="20"/>
                <w:lang w:val="sk-SK"/>
              </w:rPr>
              <w:t>V</w:t>
            </w:r>
            <w:r w:rsidR="000F08A2">
              <w:rPr>
                <w:rFonts w:ascii="Arial" w:hAnsi="Arial" w:cs="Arial"/>
                <w:sz w:val="20"/>
                <w:lang w:val="sk-SK"/>
              </w:rPr>
              <w:t xml:space="preserve"> </w:t>
            </w:r>
            <w:r w:rsidR="008E2302">
              <w:rPr>
                <w:rFonts w:ascii="Arial" w:hAnsi="Arial" w:cs="Arial"/>
                <w:sz w:val="20"/>
                <w:lang w:val="sk-SK"/>
              </w:rPr>
              <w:t>.................</w:t>
            </w:r>
            <w:r w:rsidRPr="00423A44">
              <w:rPr>
                <w:rFonts w:ascii="Arial" w:hAnsi="Arial" w:cs="Arial"/>
                <w:sz w:val="20"/>
                <w:lang w:val="sk-SK"/>
              </w:rPr>
              <w:t>,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6CF927D" w14:textId="078FF484" w:rsidR="007C644B" w:rsidRPr="00423A44" w:rsidRDefault="000F08A2" w:rsidP="000F08A2">
            <w:pPr>
              <w:spacing w:after="0"/>
              <w:jc w:val="center"/>
              <w:rPr>
                <w:rFonts w:cs="Arial"/>
                <w:szCs w:val="20"/>
              </w:rPr>
            </w:pPr>
            <w:r w:rsidRPr="000F08A2">
              <w:rPr>
                <w:rFonts w:cs="Arial"/>
                <w:szCs w:val="20"/>
              </w:rPr>
              <w:t>konateľ</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lastRenderedPageBreak/>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0F08A2" w:rsidRPr="00423A44" w14:paraId="52360395" w14:textId="77777777" w:rsidTr="007C644B">
        <w:tc>
          <w:tcPr>
            <w:tcW w:w="1068" w:type="pct"/>
            <w:tcBorders>
              <w:top w:val="nil"/>
              <w:bottom w:val="nil"/>
              <w:right w:val="nil"/>
            </w:tcBorders>
            <w:shd w:val="clear" w:color="auto" w:fill="auto"/>
          </w:tcPr>
          <w:p w14:paraId="09E1CE7E" w14:textId="77777777" w:rsidR="000F08A2" w:rsidRPr="00423A44" w:rsidRDefault="000F08A2" w:rsidP="000F08A2">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64659F9C" w:rsidR="000F08A2" w:rsidRPr="00423A44" w:rsidRDefault="000F08A2" w:rsidP="00206DEC">
            <w:pPr>
              <w:spacing w:line="360" w:lineRule="auto"/>
              <w:jc w:val="both"/>
              <w:rPr>
                <w:rFonts w:cs="Arial"/>
                <w:b/>
              </w:rPr>
            </w:pPr>
          </w:p>
        </w:tc>
      </w:tr>
      <w:tr w:rsidR="000F08A2" w:rsidRPr="00423A44" w14:paraId="060A04B7" w14:textId="77777777" w:rsidTr="00206DEC">
        <w:trPr>
          <w:trHeight w:val="506"/>
        </w:trPr>
        <w:tc>
          <w:tcPr>
            <w:tcW w:w="1068" w:type="pct"/>
            <w:tcBorders>
              <w:top w:val="nil"/>
              <w:bottom w:val="nil"/>
              <w:right w:val="nil"/>
            </w:tcBorders>
            <w:shd w:val="clear" w:color="auto" w:fill="auto"/>
          </w:tcPr>
          <w:p w14:paraId="7D343D66" w14:textId="77777777" w:rsidR="000F08A2" w:rsidRPr="00423A44" w:rsidRDefault="000F08A2" w:rsidP="000F08A2">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64D21A7A" w:rsidR="000F08A2" w:rsidRPr="00423A44" w:rsidRDefault="000F08A2" w:rsidP="000F08A2">
            <w:pPr>
              <w:spacing w:line="360" w:lineRule="auto"/>
              <w:jc w:val="both"/>
              <w:rPr>
                <w:rFonts w:cs="Arial"/>
              </w:rPr>
            </w:pPr>
          </w:p>
        </w:tc>
      </w:tr>
      <w:tr w:rsidR="000F08A2" w:rsidRPr="00423A44" w14:paraId="74E9D93F" w14:textId="77777777" w:rsidTr="007C644B">
        <w:tc>
          <w:tcPr>
            <w:tcW w:w="1068" w:type="pct"/>
            <w:tcBorders>
              <w:top w:val="nil"/>
              <w:bottom w:val="nil"/>
              <w:right w:val="nil"/>
            </w:tcBorders>
            <w:shd w:val="clear" w:color="auto" w:fill="auto"/>
          </w:tcPr>
          <w:p w14:paraId="49638FD6" w14:textId="77777777" w:rsidR="000F08A2" w:rsidRPr="00423A44" w:rsidRDefault="000F08A2" w:rsidP="000F08A2">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3C823C24" w:rsidR="000F08A2" w:rsidRPr="00423A44" w:rsidRDefault="000F08A2" w:rsidP="000F08A2">
            <w:pPr>
              <w:pStyle w:val="Pta"/>
              <w:spacing w:after="0" w:line="360" w:lineRule="auto"/>
              <w:jc w:val="both"/>
              <w:rPr>
                <w:rFonts w:cs="Arial"/>
                <w:szCs w:val="20"/>
              </w:rPr>
            </w:pPr>
          </w:p>
        </w:tc>
      </w:tr>
      <w:tr w:rsidR="000F08A2" w:rsidRPr="00423A44" w14:paraId="26C45AD7" w14:textId="77777777" w:rsidTr="007C644B">
        <w:tc>
          <w:tcPr>
            <w:tcW w:w="1068" w:type="pct"/>
            <w:tcBorders>
              <w:top w:val="nil"/>
              <w:bottom w:val="nil"/>
              <w:right w:val="nil"/>
            </w:tcBorders>
            <w:shd w:val="clear" w:color="auto" w:fill="auto"/>
          </w:tcPr>
          <w:p w14:paraId="4A404C3C" w14:textId="77777777" w:rsidR="000F08A2" w:rsidRPr="00423A44" w:rsidRDefault="000F08A2" w:rsidP="000F08A2">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0F00809B" w:rsidR="000F08A2" w:rsidRPr="00423A44" w:rsidRDefault="000F08A2" w:rsidP="000F08A2">
            <w:pPr>
              <w:spacing w:line="360" w:lineRule="auto"/>
              <w:jc w:val="both"/>
              <w:rPr>
                <w:rFonts w:cs="Arial"/>
              </w:rPr>
            </w:pPr>
          </w:p>
        </w:tc>
      </w:tr>
      <w:tr w:rsidR="000F08A2" w:rsidRPr="00423A44" w14:paraId="005A0200" w14:textId="77777777" w:rsidTr="007C644B">
        <w:tc>
          <w:tcPr>
            <w:tcW w:w="1068" w:type="pct"/>
            <w:tcBorders>
              <w:top w:val="nil"/>
              <w:bottom w:val="nil"/>
              <w:right w:val="nil"/>
            </w:tcBorders>
            <w:shd w:val="clear" w:color="auto" w:fill="auto"/>
          </w:tcPr>
          <w:p w14:paraId="55DDAC91" w14:textId="77777777" w:rsidR="000F08A2" w:rsidRPr="00423A44" w:rsidRDefault="000F08A2" w:rsidP="000F08A2">
            <w:pPr>
              <w:spacing w:line="360" w:lineRule="auto"/>
              <w:jc w:val="both"/>
              <w:rPr>
                <w:rFonts w:cs="Arial"/>
              </w:rPr>
            </w:pPr>
            <w:r w:rsidRPr="00423A44">
              <w:rPr>
                <w:rFonts w:cs="Arial"/>
              </w:rPr>
              <w:lastRenderedPageBreak/>
              <w:t>IČ DPH:</w:t>
            </w:r>
          </w:p>
        </w:tc>
        <w:tc>
          <w:tcPr>
            <w:tcW w:w="3932" w:type="pct"/>
            <w:tcBorders>
              <w:left w:val="nil"/>
            </w:tcBorders>
            <w:shd w:val="clear" w:color="auto" w:fill="auto"/>
          </w:tcPr>
          <w:p w14:paraId="343214F0" w14:textId="77777777" w:rsidR="000F08A2" w:rsidRPr="00423A44" w:rsidRDefault="000F08A2" w:rsidP="000F08A2">
            <w:pPr>
              <w:spacing w:line="360" w:lineRule="auto"/>
              <w:jc w:val="both"/>
              <w:rPr>
                <w:rFonts w:cs="Arial"/>
              </w:rPr>
            </w:pPr>
          </w:p>
        </w:tc>
      </w:tr>
      <w:tr w:rsidR="000F08A2" w:rsidRPr="00423A44" w14:paraId="1B6A979B" w14:textId="77777777" w:rsidTr="007C644B">
        <w:tc>
          <w:tcPr>
            <w:tcW w:w="1068" w:type="pct"/>
            <w:tcBorders>
              <w:top w:val="nil"/>
              <w:bottom w:val="nil"/>
              <w:right w:val="nil"/>
            </w:tcBorders>
            <w:shd w:val="clear" w:color="auto" w:fill="auto"/>
          </w:tcPr>
          <w:p w14:paraId="180B6011" w14:textId="77777777" w:rsidR="000F08A2" w:rsidRPr="00423A44" w:rsidRDefault="000F08A2" w:rsidP="000F08A2">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8DB6302" w:rsidR="000F08A2" w:rsidRPr="00423A44" w:rsidRDefault="000F08A2" w:rsidP="000F08A2">
            <w:pPr>
              <w:spacing w:line="360" w:lineRule="auto"/>
              <w:jc w:val="both"/>
              <w:rPr>
                <w:rFonts w:cs="Arial"/>
              </w:rPr>
            </w:pPr>
          </w:p>
        </w:tc>
      </w:tr>
      <w:tr w:rsidR="000F08A2" w:rsidRPr="00423A44" w14:paraId="202AE98C" w14:textId="77777777" w:rsidTr="007C644B">
        <w:tc>
          <w:tcPr>
            <w:tcW w:w="1068" w:type="pct"/>
            <w:tcBorders>
              <w:top w:val="nil"/>
              <w:bottom w:val="nil"/>
              <w:right w:val="nil"/>
            </w:tcBorders>
            <w:shd w:val="clear" w:color="auto" w:fill="auto"/>
          </w:tcPr>
          <w:p w14:paraId="6346C9E3" w14:textId="77777777" w:rsidR="000F08A2" w:rsidRPr="00423A44" w:rsidRDefault="000F08A2" w:rsidP="000F08A2">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54D09927" w:rsidR="000F08A2" w:rsidRPr="00423A44" w:rsidRDefault="000F08A2" w:rsidP="000F08A2">
            <w:pPr>
              <w:spacing w:line="360" w:lineRule="auto"/>
              <w:jc w:val="both"/>
              <w:rPr>
                <w:rFonts w:cs="Arial"/>
              </w:rPr>
            </w:pPr>
          </w:p>
        </w:tc>
      </w:tr>
      <w:tr w:rsidR="000F08A2" w:rsidRPr="00423A44" w14:paraId="401E968A" w14:textId="77777777" w:rsidTr="007C644B">
        <w:tc>
          <w:tcPr>
            <w:tcW w:w="5000" w:type="pct"/>
            <w:gridSpan w:val="2"/>
            <w:tcBorders>
              <w:top w:val="nil"/>
              <w:bottom w:val="nil"/>
            </w:tcBorders>
            <w:shd w:val="clear" w:color="auto" w:fill="auto"/>
          </w:tcPr>
          <w:p w14:paraId="294E68FE" w14:textId="77777777" w:rsidR="000F08A2" w:rsidRPr="00423A44" w:rsidRDefault="000F08A2" w:rsidP="000F08A2">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699174A1" w:rsidR="007C644B" w:rsidRPr="00423A44" w:rsidRDefault="007C644B" w:rsidP="008E2302">
            <w:pPr>
              <w:pStyle w:val="Bezriadkovania"/>
              <w:rPr>
                <w:rFonts w:ascii="Arial" w:hAnsi="Arial" w:cs="Arial"/>
                <w:sz w:val="20"/>
                <w:lang w:val="sk-SK"/>
              </w:rPr>
            </w:pPr>
            <w:r w:rsidRPr="00423A44">
              <w:rPr>
                <w:rFonts w:ascii="Arial" w:hAnsi="Arial" w:cs="Arial"/>
                <w:sz w:val="20"/>
                <w:lang w:val="sk-SK"/>
              </w:rPr>
              <w:t>V</w:t>
            </w:r>
            <w:r w:rsidR="008E2302">
              <w:rPr>
                <w:rFonts w:ascii="Arial" w:hAnsi="Arial" w:cs="Arial"/>
                <w:sz w:val="20"/>
                <w:lang w:val="sk-SK"/>
              </w:rPr>
              <w:t>.........................</w:t>
            </w:r>
            <w:r w:rsidRPr="00423A44">
              <w:rPr>
                <w:rFonts w:ascii="Arial" w:hAnsi="Arial" w:cs="Arial"/>
                <w:sz w:val="20"/>
                <w:lang w:val="sk-SK"/>
              </w:rPr>
              <w:t>,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bookmarkStart w:id="2" w:name="_GoBack"/>
      <w:bookmarkEnd w:id="2"/>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4"/>
        <w:gridCol w:w="1515"/>
        <w:gridCol w:w="4073"/>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7D626B38" w14:textId="39BE65C8" w:rsidR="000F08A2" w:rsidRPr="000F08A2" w:rsidRDefault="000F08A2" w:rsidP="000F08A2">
            <w:pPr>
              <w:jc w:val="center"/>
              <w:rPr>
                <w:rFonts w:cs="Arial"/>
                <w:szCs w:val="20"/>
              </w:rPr>
            </w:pPr>
          </w:p>
          <w:p w14:paraId="5209D87A" w14:textId="43B83383" w:rsidR="007C644B" w:rsidRPr="00423A44" w:rsidRDefault="000F08A2" w:rsidP="000F08A2">
            <w:pPr>
              <w:jc w:val="center"/>
              <w:rPr>
                <w:rFonts w:cs="Arial"/>
                <w:szCs w:val="20"/>
              </w:rPr>
            </w:pPr>
            <w:r w:rsidRPr="000F08A2">
              <w:rPr>
                <w:rFonts w:cs="Arial"/>
                <w:szCs w:val="20"/>
              </w:rPr>
              <w:t>konateľ</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lastRenderedPageBreak/>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1A7D437" w:rsidR="00497636" w:rsidRPr="00423A44" w:rsidRDefault="00497636" w:rsidP="00206DEC">
            <w:pPr>
              <w:spacing w:after="0" w:line="360" w:lineRule="auto"/>
              <w:rPr>
                <w:rFonts w:cs="Arial"/>
                <w:sz w:val="16"/>
                <w:szCs w:val="16"/>
              </w:rPr>
            </w:pPr>
            <w:r w:rsidRPr="00423A44">
              <w:rPr>
                <w:b/>
                <w:sz w:val="16"/>
                <w:szCs w:val="16"/>
              </w:rPr>
              <w:t>OZ:</w:t>
            </w:r>
            <w:r w:rsidR="007C5DCD" w:rsidRPr="00423A44">
              <w:rPr>
                <w:b/>
                <w:sz w:val="16"/>
                <w:szCs w:val="16"/>
              </w:rPr>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65A869B3" w:rsidR="00497636" w:rsidRPr="00423A44" w:rsidRDefault="00497636" w:rsidP="00206DEC">
            <w:pPr>
              <w:spacing w:after="0" w:line="360" w:lineRule="auto"/>
              <w:rPr>
                <w:rFonts w:cs="Arial"/>
                <w:sz w:val="16"/>
                <w:szCs w:val="16"/>
              </w:rPr>
            </w:pPr>
            <w:r w:rsidRPr="00423A44">
              <w:rPr>
                <w:b/>
                <w:sz w:val="16"/>
                <w:szCs w:val="16"/>
              </w:rPr>
              <w:t xml:space="preserve">LS: </w:t>
            </w:r>
          </w:p>
        </w:tc>
        <w:tc>
          <w:tcPr>
            <w:tcW w:w="4531" w:type="dxa"/>
          </w:tcPr>
          <w:p w14:paraId="65621A8F" w14:textId="30DA238A" w:rsidR="00497636" w:rsidRPr="00423A44" w:rsidRDefault="00497636" w:rsidP="00206DEC">
            <w:pPr>
              <w:spacing w:after="0" w:line="360" w:lineRule="auto"/>
              <w:rPr>
                <w:rFonts w:cs="Arial"/>
                <w:sz w:val="16"/>
                <w:szCs w:val="16"/>
              </w:rPr>
            </w:pPr>
            <w:r w:rsidRPr="00423A44">
              <w:rPr>
                <w:b/>
                <w:sz w:val="16"/>
                <w:szCs w:val="16"/>
              </w:rPr>
              <w:t>LO:</w:t>
            </w:r>
            <w:r w:rsidR="00CF0448">
              <w:rPr>
                <w:b/>
                <w:sz w:val="16"/>
                <w:szCs w:val="16"/>
              </w:rPr>
              <w:t xml:space="preserve"> </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5F522A"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5F522A"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5F522A"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5F522A"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5F522A"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5F522A"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lastRenderedPageBreak/>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lastRenderedPageBreak/>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506DC" w:rsidRPr="00B75399" w:rsidRDefault="007506DC" w:rsidP="00B75399">
                            <w:pPr>
                              <w:tabs>
                                <w:tab w:val="left" w:pos="1080"/>
                              </w:tabs>
                              <w:spacing w:after="0"/>
                              <w:rPr>
                                <w:rFonts w:cs="Arial"/>
                                <w:szCs w:val="20"/>
                              </w:rPr>
                            </w:pPr>
                            <w:r w:rsidRPr="00B75399">
                              <w:rPr>
                                <w:rFonts w:cs="Arial"/>
                                <w:b/>
                                <w:szCs w:val="20"/>
                              </w:rPr>
                              <w:t>MIERKA:</w:t>
                            </w:r>
                          </w:p>
                          <w:p w14:paraId="0F800033" w14:textId="77777777" w:rsidR="007506DC" w:rsidRPr="00B75399" w:rsidRDefault="007506DC" w:rsidP="00B75399">
                            <w:pPr>
                              <w:tabs>
                                <w:tab w:val="left" w:pos="1080"/>
                              </w:tabs>
                              <w:spacing w:after="0"/>
                              <w:rPr>
                                <w:rFonts w:cs="Arial"/>
                                <w:szCs w:val="20"/>
                              </w:rPr>
                            </w:pPr>
                            <w:r w:rsidRPr="00B75399">
                              <w:rPr>
                                <w:rFonts w:cs="Arial"/>
                                <w:szCs w:val="20"/>
                              </w:rPr>
                              <w:t>smer stínky</w:t>
                            </w:r>
                          </w:p>
                          <w:p w14:paraId="1FDBDBCE" w14:textId="77777777" w:rsidR="007506DC" w:rsidRPr="00B75399" w:rsidRDefault="007506DC" w:rsidP="00B75399">
                            <w:pPr>
                              <w:tabs>
                                <w:tab w:val="left" w:pos="1080"/>
                              </w:tabs>
                              <w:spacing w:after="0"/>
                              <w:rPr>
                                <w:rFonts w:cs="Arial"/>
                                <w:szCs w:val="20"/>
                              </w:rPr>
                            </w:pPr>
                            <w:r w:rsidRPr="00B75399">
                              <w:rPr>
                                <w:rFonts w:cs="Arial"/>
                                <w:szCs w:val="20"/>
                              </w:rPr>
                              <w:t>postup stínky</w:t>
                            </w:r>
                          </w:p>
                          <w:p w14:paraId="2F4D3896" w14:textId="2C464BEF" w:rsidR="007506DC" w:rsidRPr="00B75399" w:rsidRDefault="007506DC" w:rsidP="00B75399">
                            <w:pPr>
                              <w:tabs>
                                <w:tab w:val="left" w:pos="1080"/>
                              </w:tabs>
                              <w:spacing w:after="0"/>
                              <w:rPr>
                                <w:rFonts w:cs="Arial"/>
                                <w:b/>
                                <w:szCs w:val="20"/>
                              </w:rPr>
                            </w:pPr>
                            <w:r w:rsidRPr="00B75399">
                              <w:rPr>
                                <w:rFonts w:cs="Arial"/>
                                <w:szCs w:val="20"/>
                              </w:rPr>
                              <w:t>prerušenie približ. trasy</w:t>
                            </w:r>
                          </w:p>
                          <w:p w14:paraId="4080B194" w14:textId="60FD01D8" w:rsidR="007506DC" w:rsidRPr="00B75399" w:rsidRDefault="007506DC"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506DC" w:rsidRPr="00B75399" w:rsidRDefault="007506DC"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506DC" w:rsidRPr="00B75399" w:rsidRDefault="007506DC"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506DC" w:rsidRPr="00B75399" w:rsidRDefault="007506DC"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506DC" w:rsidRPr="00B75399" w:rsidRDefault="007506DC" w:rsidP="00B75399">
                      <w:pPr>
                        <w:tabs>
                          <w:tab w:val="left" w:pos="1080"/>
                        </w:tabs>
                        <w:spacing w:after="0"/>
                        <w:rPr>
                          <w:rFonts w:cs="Arial"/>
                          <w:szCs w:val="20"/>
                        </w:rPr>
                      </w:pPr>
                      <w:r w:rsidRPr="00B75399">
                        <w:rPr>
                          <w:rFonts w:cs="Arial"/>
                          <w:b/>
                          <w:szCs w:val="20"/>
                        </w:rPr>
                        <w:t>MIERKA:</w:t>
                      </w:r>
                    </w:p>
                    <w:p w14:paraId="0F800033" w14:textId="77777777" w:rsidR="007506DC" w:rsidRPr="00B75399" w:rsidRDefault="007506DC" w:rsidP="00B75399">
                      <w:pPr>
                        <w:tabs>
                          <w:tab w:val="left" w:pos="1080"/>
                        </w:tabs>
                        <w:spacing w:after="0"/>
                        <w:rPr>
                          <w:rFonts w:cs="Arial"/>
                          <w:szCs w:val="20"/>
                        </w:rPr>
                      </w:pPr>
                      <w:r w:rsidRPr="00B75399">
                        <w:rPr>
                          <w:rFonts w:cs="Arial"/>
                          <w:szCs w:val="20"/>
                        </w:rPr>
                        <w:t>smer stínky</w:t>
                      </w:r>
                    </w:p>
                    <w:p w14:paraId="1FDBDBCE" w14:textId="77777777" w:rsidR="007506DC" w:rsidRPr="00B75399" w:rsidRDefault="007506DC" w:rsidP="00B75399">
                      <w:pPr>
                        <w:tabs>
                          <w:tab w:val="left" w:pos="1080"/>
                        </w:tabs>
                        <w:spacing w:after="0"/>
                        <w:rPr>
                          <w:rFonts w:cs="Arial"/>
                          <w:szCs w:val="20"/>
                        </w:rPr>
                      </w:pPr>
                      <w:r w:rsidRPr="00B75399">
                        <w:rPr>
                          <w:rFonts w:cs="Arial"/>
                          <w:szCs w:val="20"/>
                        </w:rPr>
                        <w:t>postup stínky</w:t>
                      </w:r>
                    </w:p>
                    <w:p w14:paraId="2F4D3896" w14:textId="2C464BEF" w:rsidR="007506DC" w:rsidRPr="00B75399" w:rsidRDefault="007506DC" w:rsidP="00B75399">
                      <w:pPr>
                        <w:tabs>
                          <w:tab w:val="left" w:pos="1080"/>
                        </w:tabs>
                        <w:spacing w:after="0"/>
                        <w:rPr>
                          <w:rFonts w:cs="Arial"/>
                          <w:b/>
                          <w:szCs w:val="20"/>
                        </w:rPr>
                      </w:pPr>
                      <w:r w:rsidRPr="00B75399">
                        <w:rPr>
                          <w:rFonts w:cs="Arial"/>
                          <w:szCs w:val="20"/>
                        </w:rPr>
                        <w:t>prerušenie približ. trasy</w:t>
                      </w:r>
                    </w:p>
                    <w:p w14:paraId="4080B194" w14:textId="60FD01D8" w:rsidR="007506DC" w:rsidRPr="00B75399" w:rsidRDefault="007506DC"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506DC" w:rsidRPr="00B75399" w:rsidRDefault="007506DC"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506DC" w:rsidRPr="00B75399" w:rsidRDefault="007506DC"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506DC" w:rsidRPr="00B75399" w:rsidRDefault="007506DC"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lastRenderedPageBreak/>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5F522A">
              <w:rPr>
                <w:sz w:val="16"/>
                <w:szCs w:val="16"/>
              </w:rPr>
            </w:r>
            <w:r w:rsidR="005F522A">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lastRenderedPageBreak/>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0F08A2" w:rsidRPr="00423A44" w14:paraId="29C7E2B9" w14:textId="77777777" w:rsidTr="00BD532C">
        <w:tc>
          <w:tcPr>
            <w:tcW w:w="1022" w:type="dxa"/>
          </w:tcPr>
          <w:p w14:paraId="044A3041" w14:textId="23968C95" w:rsidR="000F08A2" w:rsidRPr="00423A44" w:rsidRDefault="000F08A2" w:rsidP="000F08A2">
            <w:pPr>
              <w:spacing w:after="0"/>
              <w:rPr>
                <w:rFonts w:eastAsia="Calibri" w:cs="Arial"/>
                <w:b/>
                <w:lang w:eastAsia="en-US"/>
              </w:rPr>
            </w:pPr>
            <w:r>
              <w:rPr>
                <w:rFonts w:eastAsia="Calibri" w:cs="Arial"/>
                <w:b/>
                <w:lang w:eastAsia="en-US"/>
              </w:rPr>
              <w:t>1</w:t>
            </w:r>
          </w:p>
        </w:tc>
        <w:tc>
          <w:tcPr>
            <w:tcW w:w="1317" w:type="dxa"/>
          </w:tcPr>
          <w:p w14:paraId="2D29D254" w14:textId="5B2C9D1F" w:rsidR="000F08A2" w:rsidRPr="00423A44" w:rsidRDefault="000F08A2" w:rsidP="000F08A2">
            <w:pPr>
              <w:spacing w:after="0"/>
              <w:rPr>
                <w:rFonts w:eastAsia="Calibri" w:cs="Arial"/>
                <w:b/>
                <w:lang w:eastAsia="en-US"/>
              </w:rPr>
            </w:pPr>
          </w:p>
        </w:tc>
        <w:tc>
          <w:tcPr>
            <w:tcW w:w="1317" w:type="dxa"/>
          </w:tcPr>
          <w:p w14:paraId="3876BA81" w14:textId="562817F9" w:rsidR="000F08A2" w:rsidRPr="00423A44" w:rsidRDefault="000F08A2" w:rsidP="000F08A2">
            <w:pPr>
              <w:spacing w:after="0"/>
              <w:rPr>
                <w:rFonts w:eastAsia="Calibri" w:cs="Arial"/>
                <w:b/>
                <w:lang w:eastAsia="en-US"/>
              </w:rPr>
            </w:pPr>
          </w:p>
        </w:tc>
        <w:tc>
          <w:tcPr>
            <w:tcW w:w="1351" w:type="dxa"/>
          </w:tcPr>
          <w:p w14:paraId="3DDDC679" w14:textId="5E8CAF25" w:rsidR="000F08A2" w:rsidRPr="00423A44" w:rsidRDefault="000F08A2" w:rsidP="000F08A2">
            <w:pPr>
              <w:spacing w:after="0"/>
              <w:rPr>
                <w:rFonts w:eastAsia="Calibri" w:cs="Arial"/>
                <w:b/>
                <w:lang w:eastAsia="en-US"/>
              </w:rPr>
            </w:pPr>
          </w:p>
        </w:tc>
        <w:tc>
          <w:tcPr>
            <w:tcW w:w="1383" w:type="dxa"/>
          </w:tcPr>
          <w:p w14:paraId="0013E11C" w14:textId="4B322A46" w:rsidR="000F08A2" w:rsidRPr="00423A44" w:rsidRDefault="000F08A2" w:rsidP="000F08A2">
            <w:pPr>
              <w:spacing w:after="0"/>
              <w:rPr>
                <w:rFonts w:eastAsia="Calibri" w:cs="Arial"/>
                <w:b/>
                <w:lang w:eastAsia="en-US"/>
              </w:rPr>
            </w:pPr>
          </w:p>
        </w:tc>
        <w:tc>
          <w:tcPr>
            <w:tcW w:w="1278" w:type="dxa"/>
          </w:tcPr>
          <w:p w14:paraId="15AF97C9" w14:textId="0D673392" w:rsidR="000F08A2" w:rsidRPr="00423A44" w:rsidRDefault="000F08A2" w:rsidP="000F08A2">
            <w:pPr>
              <w:spacing w:after="0"/>
              <w:rPr>
                <w:rFonts w:eastAsia="Calibri" w:cs="Arial"/>
                <w:b/>
                <w:lang w:eastAsia="en-US"/>
              </w:rPr>
            </w:pPr>
          </w:p>
        </w:tc>
        <w:tc>
          <w:tcPr>
            <w:tcW w:w="1394" w:type="dxa"/>
          </w:tcPr>
          <w:p w14:paraId="0C5EBEBC" w14:textId="22896EAA" w:rsidR="000F08A2" w:rsidRPr="00423A44" w:rsidRDefault="000F08A2" w:rsidP="000F08A2">
            <w:pPr>
              <w:spacing w:after="0"/>
              <w:rPr>
                <w:rFonts w:eastAsia="Calibri" w:cs="Arial"/>
                <w:b/>
                <w:lang w:eastAsia="en-US"/>
              </w:rPr>
            </w:pPr>
          </w:p>
        </w:tc>
      </w:tr>
      <w:tr w:rsidR="000F08A2" w:rsidRPr="00423A44" w14:paraId="6EE2C2C2" w14:textId="77777777" w:rsidTr="00BD532C">
        <w:tc>
          <w:tcPr>
            <w:tcW w:w="1022" w:type="dxa"/>
          </w:tcPr>
          <w:p w14:paraId="74518BDE" w14:textId="176B4ECE" w:rsidR="000F08A2" w:rsidRPr="00423A44" w:rsidRDefault="000F08A2" w:rsidP="000F08A2">
            <w:pPr>
              <w:spacing w:after="0"/>
              <w:rPr>
                <w:rFonts w:eastAsia="Calibri" w:cs="Arial"/>
                <w:b/>
                <w:lang w:eastAsia="en-US"/>
              </w:rPr>
            </w:pPr>
            <w:r>
              <w:rPr>
                <w:rFonts w:eastAsia="Calibri" w:cs="Arial"/>
                <w:b/>
                <w:lang w:eastAsia="en-US"/>
              </w:rPr>
              <w:t>2</w:t>
            </w:r>
          </w:p>
        </w:tc>
        <w:tc>
          <w:tcPr>
            <w:tcW w:w="1317" w:type="dxa"/>
          </w:tcPr>
          <w:p w14:paraId="776FC845" w14:textId="73BF5DA7" w:rsidR="000F08A2" w:rsidRPr="00423A44" w:rsidRDefault="000F08A2" w:rsidP="000F08A2">
            <w:pPr>
              <w:spacing w:after="0"/>
              <w:rPr>
                <w:rFonts w:eastAsia="Calibri" w:cs="Arial"/>
                <w:b/>
                <w:lang w:eastAsia="en-US"/>
              </w:rPr>
            </w:pPr>
          </w:p>
        </w:tc>
        <w:tc>
          <w:tcPr>
            <w:tcW w:w="1317" w:type="dxa"/>
          </w:tcPr>
          <w:p w14:paraId="1662EC64" w14:textId="4C2648B0" w:rsidR="000F08A2" w:rsidRPr="00423A44" w:rsidRDefault="000F08A2" w:rsidP="000F08A2">
            <w:pPr>
              <w:spacing w:after="0"/>
              <w:rPr>
                <w:rFonts w:eastAsia="Calibri" w:cs="Arial"/>
                <w:b/>
                <w:lang w:eastAsia="en-US"/>
              </w:rPr>
            </w:pPr>
          </w:p>
        </w:tc>
        <w:tc>
          <w:tcPr>
            <w:tcW w:w="1351" w:type="dxa"/>
          </w:tcPr>
          <w:p w14:paraId="6C136C67" w14:textId="249A3D16" w:rsidR="000F08A2" w:rsidRPr="00423A44" w:rsidRDefault="000F08A2" w:rsidP="000F08A2">
            <w:pPr>
              <w:spacing w:after="0"/>
              <w:rPr>
                <w:rFonts w:eastAsia="Calibri" w:cs="Arial"/>
                <w:b/>
                <w:lang w:eastAsia="en-US"/>
              </w:rPr>
            </w:pPr>
          </w:p>
        </w:tc>
        <w:tc>
          <w:tcPr>
            <w:tcW w:w="1383" w:type="dxa"/>
          </w:tcPr>
          <w:p w14:paraId="40328E79" w14:textId="6C9ED690" w:rsidR="000F08A2" w:rsidRPr="00423A44" w:rsidRDefault="000F08A2" w:rsidP="000F08A2">
            <w:pPr>
              <w:spacing w:after="0"/>
              <w:rPr>
                <w:rFonts w:eastAsia="Calibri" w:cs="Arial"/>
                <w:b/>
                <w:lang w:eastAsia="en-US"/>
              </w:rPr>
            </w:pPr>
          </w:p>
        </w:tc>
        <w:tc>
          <w:tcPr>
            <w:tcW w:w="1278" w:type="dxa"/>
          </w:tcPr>
          <w:p w14:paraId="6E9096E3" w14:textId="355DDAC7" w:rsidR="000F08A2" w:rsidRPr="00423A44" w:rsidRDefault="000F08A2" w:rsidP="000F08A2">
            <w:pPr>
              <w:spacing w:after="0"/>
              <w:rPr>
                <w:rFonts w:eastAsia="Calibri" w:cs="Arial"/>
                <w:b/>
                <w:lang w:eastAsia="en-US"/>
              </w:rPr>
            </w:pPr>
          </w:p>
        </w:tc>
        <w:tc>
          <w:tcPr>
            <w:tcW w:w="1394" w:type="dxa"/>
          </w:tcPr>
          <w:p w14:paraId="3BF987FD" w14:textId="59949D28" w:rsidR="000F08A2" w:rsidRPr="00423A44" w:rsidRDefault="000F08A2" w:rsidP="000F08A2">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lastRenderedPageBreak/>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29D5F" w14:textId="77777777" w:rsidR="005F522A" w:rsidRDefault="005F522A">
      <w:r>
        <w:separator/>
      </w:r>
    </w:p>
  </w:endnote>
  <w:endnote w:type="continuationSeparator" w:id="0">
    <w:p w14:paraId="51A2D28D" w14:textId="77777777" w:rsidR="005F522A" w:rsidRDefault="005F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506DC" w:rsidRDefault="007506D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506DC" w14:paraId="2D4E7A60" w14:textId="77777777" w:rsidTr="002917A0">
              <w:tc>
                <w:tcPr>
                  <w:tcW w:w="7650" w:type="dxa"/>
                </w:tcPr>
                <w:p w14:paraId="161303EA" w14:textId="22A8324C" w:rsidR="007506DC" w:rsidRDefault="007506DC" w:rsidP="001474DF">
                  <w:pPr>
                    <w:pStyle w:val="Pta"/>
                  </w:pPr>
                </w:p>
              </w:tc>
              <w:tc>
                <w:tcPr>
                  <w:tcW w:w="1412" w:type="dxa"/>
                </w:tcPr>
                <w:p w14:paraId="7289D8C9" w14:textId="6F99E648" w:rsidR="007506DC" w:rsidRDefault="007506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E2302">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E2302">
                    <w:rPr>
                      <w:bCs/>
                      <w:noProof/>
                      <w:sz w:val="18"/>
                      <w:szCs w:val="18"/>
                    </w:rPr>
                    <w:t>27</w:t>
                  </w:r>
                  <w:r w:rsidRPr="007C3D49">
                    <w:rPr>
                      <w:bCs/>
                      <w:sz w:val="18"/>
                      <w:szCs w:val="18"/>
                    </w:rPr>
                    <w:fldChar w:fldCharType="end"/>
                  </w:r>
                </w:p>
              </w:tc>
            </w:tr>
          </w:tbl>
          <w:p w14:paraId="6C1DB06B" w14:textId="4C1116E8" w:rsidR="007506DC" w:rsidRPr="002917A0" w:rsidRDefault="005F522A"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506DC" w:rsidRDefault="007506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506DC" w:rsidRDefault="007506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3E9D5" w14:textId="77777777" w:rsidR="005F522A" w:rsidRDefault="005F522A">
      <w:r>
        <w:separator/>
      </w:r>
    </w:p>
  </w:footnote>
  <w:footnote w:type="continuationSeparator" w:id="0">
    <w:p w14:paraId="0E4905D7" w14:textId="77777777" w:rsidR="005F522A" w:rsidRDefault="005F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506DC" w14:paraId="21AFCF05" w14:textId="77777777" w:rsidTr="007C644B">
      <w:tc>
        <w:tcPr>
          <w:tcW w:w="1271" w:type="dxa"/>
        </w:tcPr>
        <w:p w14:paraId="52044FF0" w14:textId="77777777" w:rsidR="007506DC" w:rsidRDefault="007506DC"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7506DC" w:rsidRDefault="007506DC"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7506DC" w:rsidRPr="007C3D49" w:rsidRDefault="007506DC" w:rsidP="007C644B">
          <w:pPr>
            <w:pStyle w:val="Nadpis4"/>
            <w:tabs>
              <w:tab w:val="clear" w:pos="576"/>
            </w:tabs>
            <w:rPr>
              <w:color w:val="005941"/>
              <w:sz w:val="24"/>
            </w:rPr>
          </w:pPr>
          <w:r w:rsidRPr="007C3D49">
            <w:rPr>
              <w:color w:val="005941"/>
              <w:sz w:val="24"/>
            </w:rPr>
            <w:t>generálne riaditeľstvo</w:t>
          </w:r>
        </w:p>
        <w:p w14:paraId="5FAD9812" w14:textId="77777777" w:rsidR="007506DC" w:rsidRDefault="007506DC" w:rsidP="007C644B">
          <w:pPr>
            <w:pStyle w:val="Nadpis4"/>
            <w:tabs>
              <w:tab w:val="clear" w:pos="576"/>
            </w:tabs>
          </w:pPr>
          <w:r w:rsidRPr="007C3D49">
            <w:rPr>
              <w:color w:val="005941"/>
              <w:sz w:val="24"/>
            </w:rPr>
            <w:t>Námestie SNP 8, 975 66 Banská Bystrica</w:t>
          </w:r>
        </w:p>
      </w:tc>
    </w:tr>
  </w:tbl>
  <w:p w14:paraId="3BFF77D9" w14:textId="77777777" w:rsidR="007506DC" w:rsidRDefault="007506D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506DC" w14:paraId="409433B9" w14:textId="77777777" w:rsidTr="007C644B">
      <w:tc>
        <w:tcPr>
          <w:tcW w:w="1271" w:type="dxa"/>
        </w:tcPr>
        <w:p w14:paraId="3067B1E8" w14:textId="77777777" w:rsidR="007506DC" w:rsidRDefault="007506DC"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506DC" w:rsidRDefault="007506DC"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506DC" w:rsidRPr="007C3D49" w:rsidRDefault="007506DC" w:rsidP="007C644B">
          <w:pPr>
            <w:pStyle w:val="Nadpis4"/>
            <w:tabs>
              <w:tab w:val="clear" w:pos="576"/>
            </w:tabs>
            <w:rPr>
              <w:color w:val="005941"/>
              <w:sz w:val="24"/>
            </w:rPr>
          </w:pPr>
          <w:r w:rsidRPr="007C3D49">
            <w:rPr>
              <w:color w:val="005941"/>
              <w:sz w:val="24"/>
            </w:rPr>
            <w:t>generálne riaditeľstvo</w:t>
          </w:r>
        </w:p>
        <w:p w14:paraId="58F16A9F" w14:textId="77777777" w:rsidR="007506DC" w:rsidRDefault="007506DC" w:rsidP="007C644B">
          <w:pPr>
            <w:pStyle w:val="Nadpis4"/>
            <w:tabs>
              <w:tab w:val="clear" w:pos="576"/>
            </w:tabs>
          </w:pPr>
          <w:r w:rsidRPr="007C3D49">
            <w:rPr>
              <w:color w:val="005941"/>
              <w:sz w:val="24"/>
            </w:rPr>
            <w:t>Námestie SNP 8, 975 66 Banská Bystrica</w:t>
          </w:r>
        </w:p>
      </w:tc>
    </w:tr>
  </w:tbl>
  <w:p w14:paraId="10911182" w14:textId="77777777" w:rsidR="007506DC" w:rsidRPr="006B1035" w:rsidRDefault="007506DC"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506DC" w14:paraId="38CF68B2" w14:textId="77777777" w:rsidTr="00B05D48">
      <w:tc>
        <w:tcPr>
          <w:tcW w:w="1271" w:type="dxa"/>
        </w:tcPr>
        <w:p w14:paraId="2620AC6B" w14:textId="77777777" w:rsidR="007506DC" w:rsidRDefault="007506DC"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506DC" w:rsidRDefault="007506DC"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506DC" w:rsidRPr="007C3D49" w:rsidRDefault="007506DC" w:rsidP="00D41DF4">
          <w:pPr>
            <w:pStyle w:val="Nadpis4"/>
            <w:tabs>
              <w:tab w:val="clear" w:pos="576"/>
            </w:tabs>
            <w:rPr>
              <w:color w:val="005941"/>
              <w:sz w:val="24"/>
            </w:rPr>
          </w:pPr>
          <w:r w:rsidRPr="007C3D49">
            <w:rPr>
              <w:color w:val="005941"/>
              <w:sz w:val="24"/>
            </w:rPr>
            <w:t>generálne riaditeľstvo</w:t>
          </w:r>
        </w:p>
        <w:p w14:paraId="4243A9A1" w14:textId="77777777" w:rsidR="007506DC" w:rsidRDefault="007506DC" w:rsidP="00D41DF4">
          <w:pPr>
            <w:pStyle w:val="Nadpis4"/>
            <w:tabs>
              <w:tab w:val="clear" w:pos="576"/>
            </w:tabs>
          </w:pPr>
          <w:r w:rsidRPr="007C3D49">
            <w:rPr>
              <w:color w:val="005941"/>
              <w:sz w:val="24"/>
            </w:rPr>
            <w:t>Námestie SNP 8, 975 66 Banská Bystrica</w:t>
          </w:r>
        </w:p>
      </w:tc>
    </w:tr>
  </w:tbl>
  <w:p w14:paraId="08D1390A" w14:textId="77777777" w:rsidR="007506DC" w:rsidRPr="00D41DF4" w:rsidRDefault="007506DC"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AE8"/>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08A2"/>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DEC"/>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57FA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22A"/>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6DC"/>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65B"/>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0B30"/>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302"/>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C3"/>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5BE9"/>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29"/>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4BE1"/>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0448"/>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CF9"/>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E027-553F-4429-8424-279164E9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9891</Words>
  <Characters>56384</Characters>
  <Application>Microsoft Office Word</Application>
  <DocSecurity>0</DocSecurity>
  <Lines>469</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66143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22</cp:revision>
  <cp:lastPrinted>2023-06-14T07:28:00Z</cp:lastPrinted>
  <dcterms:created xsi:type="dcterms:W3CDTF">2023-06-07T07:55:00Z</dcterms:created>
  <dcterms:modified xsi:type="dcterms:W3CDTF">2024-09-03T09:19:00Z</dcterms:modified>
  <cp:category>EIZ</cp:category>
</cp:coreProperties>
</file>