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  <w:bookmarkStart w:id="0" w:name="_GoBack"/>
            <w:bookmarkEnd w:id="0"/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237"/>
      </w:tblGrid>
      <w:tr w:rsidR="00F976CC" w:rsidRPr="005864DA" w:rsidTr="00F976C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76CC" w:rsidRPr="005864DA" w:rsidRDefault="00F976C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C" w:rsidRPr="005864DA" w:rsidRDefault="00F976C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Mestský podnik služieb mesta Strážske, </w:t>
            </w:r>
          </w:p>
          <w:p w:rsidR="00F976CC" w:rsidRPr="005864DA" w:rsidRDefault="00F976C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Cs/>
                <w:sz w:val="22"/>
                <w:szCs w:val="22"/>
              </w:rPr>
              <w:t>Námestie Alexandra Dubčeka 300, 072 22 Strážske</w:t>
            </w:r>
          </w:p>
        </w:tc>
      </w:tr>
      <w:tr w:rsidR="00F976CC" w:rsidRPr="005864DA" w:rsidTr="00F976C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76CC" w:rsidRPr="005864DA" w:rsidRDefault="00F976C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C" w:rsidRPr="005864DA" w:rsidRDefault="00F976CC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sz w:val="22"/>
                <w:szCs w:val="22"/>
              </w:rPr>
              <w:t>Zberové vozidlo  na komunálny a triedený odpad – leasing</w:t>
            </w:r>
          </w:p>
        </w:tc>
      </w:tr>
    </w:tbl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675FBF"/>
    <w:rsid w:val="007041FE"/>
    <w:rsid w:val="007B53FD"/>
    <w:rsid w:val="008033C2"/>
    <w:rsid w:val="008C1B35"/>
    <w:rsid w:val="00996CF2"/>
    <w:rsid w:val="00A56037"/>
    <w:rsid w:val="00AF3000"/>
    <w:rsid w:val="00B03F17"/>
    <w:rsid w:val="00D43FCF"/>
    <w:rsid w:val="00F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2023-06-12T08:21:00Z</dcterms:created>
  <dcterms:modified xsi:type="dcterms:W3CDTF">2024-08-28T06:21:00Z</dcterms:modified>
</cp:coreProperties>
</file>