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94B1D" w14:textId="6D55BA8C" w:rsidR="00646A67" w:rsidRDefault="00646A67" w:rsidP="00646A67">
      <w:pPr>
        <w:keepNext/>
        <w:spacing w:after="0"/>
        <w:jc w:val="center"/>
        <w:outlineLvl w:val="4"/>
        <w:rPr>
          <w:rFonts w:cs="Arial"/>
          <w:b/>
          <w:bCs/>
          <w:sz w:val="24"/>
        </w:rPr>
      </w:pPr>
      <w:r w:rsidRPr="00646A67">
        <w:rPr>
          <w:rFonts w:cs="Arial"/>
          <w:b/>
          <w:bCs/>
          <w:sz w:val="24"/>
        </w:rPr>
        <w:t>Zmluva o poskytnutí služieb č. ......</w:t>
      </w:r>
    </w:p>
    <w:p w14:paraId="0CE27324" w14:textId="77777777" w:rsidR="009E6132" w:rsidRPr="00646A67" w:rsidRDefault="009E6132" w:rsidP="00646A67">
      <w:pPr>
        <w:keepNext/>
        <w:spacing w:after="0"/>
        <w:jc w:val="center"/>
        <w:outlineLvl w:val="4"/>
        <w:rPr>
          <w:rFonts w:cs="Arial"/>
          <w:b/>
          <w:bCs/>
          <w:sz w:val="24"/>
        </w:rPr>
      </w:pPr>
    </w:p>
    <w:p w14:paraId="46069577" w14:textId="43DD3DFC"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9E6132">
        <w:rPr>
          <w:rFonts w:cs="Arial"/>
          <w:b/>
          <w:i/>
          <w:szCs w:val="20"/>
        </w:rPr>
        <w:t>Vihorlat</w:t>
      </w:r>
      <w:r w:rsidR="009703BC" w:rsidRPr="009703BC">
        <w:rPr>
          <w:rFonts w:cs="Arial"/>
          <w:b/>
          <w:i/>
          <w:szCs w:val="20"/>
        </w:rPr>
        <w:t xml:space="preserve"> na roky 2022-2026 (DNS</w:t>
      </w:r>
      <w:r w:rsidR="009703BC" w:rsidRPr="00314474">
        <w:rPr>
          <w:rFonts w:cs="Arial"/>
          <w:b/>
          <w:i/>
          <w:szCs w:val="20"/>
        </w:rPr>
        <w:t>)“</w:t>
      </w:r>
      <w:r w:rsidR="009703BC" w:rsidRPr="00314474">
        <w:rPr>
          <w:rFonts w:cs="Arial"/>
          <w:szCs w:val="20"/>
        </w:rPr>
        <w:t xml:space="preserve">- výzva č. </w:t>
      </w:r>
      <w:r w:rsidR="00D235CC" w:rsidRPr="00314474">
        <w:rPr>
          <w:rFonts w:cs="Arial"/>
          <w:szCs w:val="20"/>
        </w:rPr>
        <w:t>2</w:t>
      </w:r>
      <w:r w:rsidR="009703BC" w:rsidRPr="00314474">
        <w:rPr>
          <w:rFonts w:cs="Arial"/>
          <w:szCs w:val="20"/>
        </w:rPr>
        <w:t>“.</w:t>
      </w:r>
      <w:r w:rsidRPr="00314474">
        <w:rPr>
          <w:rFonts w:cs="Arial"/>
          <w:szCs w:val="20"/>
        </w:rPr>
        <w:t>, ktoré</w:t>
      </w:r>
      <w:r w:rsidRPr="009703BC">
        <w:rPr>
          <w:rFonts w:cs="Arial"/>
          <w:szCs w:val="20"/>
        </w:rPr>
        <w:t xml:space="preserve">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r w:rsidRPr="00874F3B">
        <w:rPr>
          <w:rFonts w:cs="Arial"/>
          <w:szCs w:val="20"/>
        </w:rPr>
        <w:t xml:space="preserve">nasl.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shd w:val="clear" w:color="auto" w:fill="auto"/>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036862">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036862">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03686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036862">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9E6132" w:rsidRPr="005A3817" w14:paraId="770F3C8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9E6132" w:rsidRPr="005A3817" w:rsidRDefault="009E6132" w:rsidP="009E6132">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16F67B20" w:rsidR="009E6132" w:rsidRPr="005A3817" w:rsidRDefault="009E6132" w:rsidP="009E6132">
            <w:pPr>
              <w:spacing w:after="0" w:line="360" w:lineRule="auto"/>
              <w:jc w:val="both"/>
              <w:rPr>
                <w:rFonts w:cs="Arial"/>
                <w:b/>
                <w:szCs w:val="20"/>
              </w:rPr>
            </w:pPr>
            <w:r w:rsidRPr="00665811">
              <w:t>LESY Slovenskej republiky, štátny podnik</w:t>
            </w:r>
          </w:p>
        </w:tc>
      </w:tr>
      <w:tr w:rsidR="009E6132" w:rsidRPr="005A3817" w14:paraId="294A176A"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9E6132" w:rsidRPr="005A3817" w:rsidRDefault="009E6132" w:rsidP="009E6132">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4FBDC00E" w:rsidR="009E6132" w:rsidRPr="005A3817" w:rsidRDefault="009E6132" w:rsidP="009E6132">
            <w:pPr>
              <w:spacing w:after="0" w:line="360" w:lineRule="auto"/>
              <w:jc w:val="both"/>
              <w:rPr>
                <w:rFonts w:cs="Arial"/>
                <w:b/>
                <w:szCs w:val="20"/>
              </w:rPr>
            </w:pPr>
            <w:r w:rsidRPr="00665811">
              <w:t>organizačná zložka Vihorlat</w:t>
            </w:r>
          </w:p>
        </w:tc>
      </w:tr>
      <w:tr w:rsidR="009E6132" w:rsidRPr="005A3817" w14:paraId="2C3EAE1E"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9E6132" w:rsidRPr="005A3817" w:rsidRDefault="009E6132" w:rsidP="009E613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1B121697" w:rsidR="009E6132" w:rsidRPr="005A3817" w:rsidRDefault="009E6132" w:rsidP="009E6132">
            <w:pPr>
              <w:spacing w:after="0" w:line="360" w:lineRule="auto"/>
              <w:jc w:val="both"/>
              <w:rPr>
                <w:rFonts w:cs="Arial"/>
                <w:szCs w:val="20"/>
              </w:rPr>
            </w:pPr>
            <w:r w:rsidRPr="00665811">
              <w:t>Čemernianska 136, 093 03 Vranov n/T</w:t>
            </w:r>
          </w:p>
        </w:tc>
      </w:tr>
      <w:tr w:rsidR="009E6132" w:rsidRPr="005A3817" w14:paraId="7B2A41F8" w14:textId="77777777" w:rsidTr="00691309">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9E6132" w:rsidRPr="005A3817" w:rsidRDefault="009E6132" w:rsidP="009E6132">
            <w:pPr>
              <w:spacing w:after="0" w:line="360" w:lineRule="auto"/>
              <w:rPr>
                <w:rFonts w:cs="Arial"/>
                <w:szCs w:val="20"/>
              </w:rPr>
            </w:pPr>
            <w:r w:rsidRPr="005A3817">
              <w:rPr>
                <w:rFonts w:cs="Arial"/>
                <w:szCs w:val="20"/>
              </w:rPr>
              <w:t>Právne zastúpený:</w:t>
            </w:r>
          </w:p>
        </w:tc>
        <w:tc>
          <w:tcPr>
            <w:tcW w:w="3692" w:type="pct"/>
            <w:gridSpan w:val="2"/>
            <w:hideMark/>
          </w:tcPr>
          <w:p w14:paraId="54813064" w14:textId="110CA42C" w:rsidR="009E6132" w:rsidRPr="005A3817" w:rsidRDefault="009E6132" w:rsidP="009E6132">
            <w:pPr>
              <w:spacing w:after="0" w:line="360" w:lineRule="auto"/>
              <w:jc w:val="both"/>
              <w:rPr>
                <w:rFonts w:cs="Arial"/>
                <w:szCs w:val="20"/>
              </w:rPr>
            </w:pPr>
            <w:r w:rsidRPr="009D51D2">
              <w:rPr>
                <w:rFonts w:cs="Arial"/>
                <w:szCs w:val="20"/>
              </w:rPr>
              <w:t>Ing. Jaroslav Ucha</w:t>
            </w:r>
            <w:r>
              <w:rPr>
                <w:rFonts w:cs="Arial"/>
                <w:szCs w:val="20"/>
              </w:rPr>
              <w:t>ľ</w:t>
            </w:r>
            <w:r w:rsidRPr="009D51D2">
              <w:rPr>
                <w:rFonts w:cs="Arial"/>
                <w:szCs w:val="20"/>
              </w:rPr>
              <w:t xml:space="preserve"> -</w:t>
            </w:r>
            <w:r>
              <w:rPr>
                <w:rFonts w:cs="Arial"/>
                <w:szCs w:val="20"/>
              </w:rPr>
              <w:t xml:space="preserve"> riaditeľ</w:t>
            </w:r>
            <w:r w:rsidRPr="009D51D2">
              <w:rPr>
                <w:rFonts w:cs="Arial"/>
                <w:szCs w:val="20"/>
              </w:rPr>
              <w:t xml:space="preserve"> OZ Vihorlat</w:t>
            </w:r>
          </w:p>
        </w:tc>
      </w:tr>
      <w:tr w:rsidR="009E6132" w:rsidRPr="005A3817" w14:paraId="659766D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9E6132" w:rsidRPr="005A3817" w:rsidRDefault="009E6132" w:rsidP="009E6132">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9E6132" w:rsidRPr="005A3817" w:rsidRDefault="009E6132" w:rsidP="009E6132">
            <w:pPr>
              <w:spacing w:after="0" w:line="360" w:lineRule="auto"/>
              <w:jc w:val="both"/>
              <w:rPr>
                <w:rFonts w:cs="Arial"/>
                <w:szCs w:val="20"/>
              </w:rPr>
            </w:pPr>
            <w:r w:rsidRPr="005A3817">
              <w:rPr>
                <w:rFonts w:cs="Arial"/>
                <w:szCs w:val="20"/>
              </w:rPr>
              <w:t>36 038 351</w:t>
            </w:r>
          </w:p>
        </w:tc>
      </w:tr>
      <w:tr w:rsidR="009E6132" w:rsidRPr="005A3817" w14:paraId="6505788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9E6132" w:rsidRPr="005A3817" w:rsidRDefault="009E6132" w:rsidP="009E6132">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9E6132" w:rsidRPr="005A3817" w:rsidRDefault="009E6132" w:rsidP="009E6132">
            <w:pPr>
              <w:spacing w:after="0" w:line="360" w:lineRule="auto"/>
              <w:jc w:val="both"/>
              <w:rPr>
                <w:rFonts w:cs="Arial"/>
                <w:szCs w:val="20"/>
              </w:rPr>
            </w:pPr>
            <w:r w:rsidRPr="005A3817">
              <w:rPr>
                <w:rFonts w:cs="Arial"/>
                <w:szCs w:val="20"/>
              </w:rPr>
              <w:t>2020087982</w:t>
            </w:r>
          </w:p>
        </w:tc>
      </w:tr>
      <w:tr w:rsidR="009E6132" w:rsidRPr="005A3817" w14:paraId="608FBEE5"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9E6132" w:rsidRPr="005A3817" w:rsidRDefault="009E6132" w:rsidP="009E6132">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9E6132" w:rsidRPr="005A3817" w:rsidRDefault="009E6132" w:rsidP="009E6132">
            <w:pPr>
              <w:spacing w:after="0" w:line="360" w:lineRule="auto"/>
              <w:rPr>
                <w:rFonts w:cs="Arial"/>
                <w:szCs w:val="20"/>
              </w:rPr>
            </w:pPr>
            <w:r w:rsidRPr="005A3817">
              <w:rPr>
                <w:rFonts w:cs="Arial"/>
                <w:szCs w:val="20"/>
              </w:rPr>
              <w:t>SK2020087982</w:t>
            </w:r>
          </w:p>
        </w:tc>
      </w:tr>
      <w:tr w:rsidR="009E6132" w:rsidRPr="005A3817" w14:paraId="49C063D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9E6132" w:rsidRPr="005A3817" w:rsidRDefault="009E6132" w:rsidP="009E6132">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8881F0D" w:rsidR="009E6132" w:rsidRPr="005A3817" w:rsidRDefault="009E6132" w:rsidP="009E6132">
            <w:pPr>
              <w:spacing w:after="0" w:line="360" w:lineRule="auto"/>
              <w:rPr>
                <w:rFonts w:cs="Arial"/>
                <w:szCs w:val="20"/>
              </w:rPr>
            </w:pPr>
            <w:r w:rsidRPr="009E6132">
              <w:rPr>
                <w:rFonts w:cs="Arial"/>
                <w:szCs w:val="20"/>
              </w:rPr>
              <w:t>SK8902000000000000509632</w:t>
            </w:r>
          </w:p>
        </w:tc>
      </w:tr>
      <w:tr w:rsidR="009E6132" w:rsidRPr="005A3817" w14:paraId="5FD61660"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9E6132" w:rsidRPr="005A3817" w:rsidRDefault="009E6132" w:rsidP="009E6132">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5814CBA7" w:rsidR="009E6132" w:rsidRPr="005A3817" w:rsidRDefault="009E6132" w:rsidP="009E6132">
            <w:pPr>
              <w:spacing w:after="0" w:line="360" w:lineRule="auto"/>
              <w:jc w:val="both"/>
              <w:rPr>
                <w:rFonts w:cs="Arial"/>
                <w:szCs w:val="20"/>
              </w:rPr>
            </w:pPr>
            <w:r w:rsidRPr="005A3817">
              <w:rPr>
                <w:rFonts w:cs="Arial"/>
                <w:szCs w:val="20"/>
              </w:rPr>
              <w:t>+421 9</w:t>
            </w:r>
            <w:r>
              <w:rPr>
                <w:rFonts w:cs="Arial"/>
                <w:szCs w:val="20"/>
              </w:rPr>
              <w:t>07 955 115</w:t>
            </w:r>
          </w:p>
        </w:tc>
      </w:tr>
      <w:tr w:rsidR="009E6132" w:rsidRPr="005A3817" w14:paraId="36BA769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9E6132" w:rsidRPr="005A3817" w:rsidRDefault="009E6132" w:rsidP="009E6132">
            <w:pPr>
              <w:spacing w:after="0" w:line="360" w:lineRule="auto"/>
              <w:jc w:val="both"/>
              <w:rPr>
                <w:rFonts w:cs="Arial"/>
                <w:szCs w:val="20"/>
              </w:rPr>
            </w:pPr>
            <w:r w:rsidRPr="005A3817">
              <w:rPr>
                <w:rFonts w:cs="Arial"/>
                <w:szCs w:val="20"/>
              </w:rPr>
              <w:t>Zapísaný v Obchodnom registri Okresného súdu v Banskej Bystrici dňa 29.10.1999, Oddiel Pš,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shd w:val="clear" w:color="auto" w:fill="auto"/>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shd w:val="clear" w:color="auto" w:fill="auto"/>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shd w:val="clear" w:color="auto" w:fill="auto"/>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shd w:val="clear" w:color="auto" w:fill="auto"/>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shd w:val="clear" w:color="auto" w:fill="auto"/>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shd w:val="clear" w:color="auto" w:fill="auto"/>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shd w:val="clear" w:color="auto" w:fill="auto"/>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shd w:val="clear" w:color="auto" w:fill="auto"/>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shd w:val="clear" w:color="auto" w:fill="auto"/>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shd w:val="clear" w:color="auto" w:fill="auto"/>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shd w:val="clear" w:color="auto" w:fill="auto"/>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shd w:val="clear" w:color="auto" w:fill="auto"/>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shd w:val="clear" w:color="auto" w:fill="auto"/>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shd w:val="clear" w:color="auto" w:fill="auto"/>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shd w:val="clear" w:color="auto" w:fill="auto"/>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0383179C"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lastRenderedPageBreak/>
        <w:t>Predmetom tejto Zmluvy o poskytnutí služieb (ďalej len „zmluva“) je záväzok dodávateľa vykonať Lesnícke služby (činností) v </w:t>
      </w:r>
      <w:r w:rsidRPr="00874F3B">
        <w:rPr>
          <w:rFonts w:cs="Arial"/>
          <w:szCs w:val="20"/>
          <w:lang w:eastAsia="cs-CZ"/>
        </w:rPr>
        <w:t xml:space="preserve">rámci </w:t>
      </w:r>
      <w:r w:rsidRPr="00314474">
        <w:rPr>
          <w:rFonts w:cs="Arial"/>
          <w:szCs w:val="20"/>
          <w:lang w:eastAsia="cs-CZ"/>
        </w:rPr>
        <w:t xml:space="preserve">zákazky </w:t>
      </w:r>
      <w:r w:rsidR="009703BC" w:rsidRPr="00314474">
        <w:rPr>
          <w:rFonts w:cs="Arial"/>
          <w:b/>
          <w:i/>
          <w:szCs w:val="20"/>
          <w:lang w:eastAsia="cs-CZ"/>
        </w:rPr>
        <w:t xml:space="preserve">Lesnícke služby -  Celoplošná príprava pôdy na OZ </w:t>
      </w:r>
      <w:r w:rsidR="009E6132" w:rsidRPr="00314474">
        <w:rPr>
          <w:rFonts w:cs="Arial"/>
          <w:b/>
          <w:i/>
          <w:szCs w:val="20"/>
          <w:lang w:eastAsia="cs-CZ"/>
        </w:rPr>
        <w:t>Vihorlat</w:t>
      </w:r>
      <w:r w:rsidR="009703BC" w:rsidRPr="00314474">
        <w:rPr>
          <w:rFonts w:cs="Arial"/>
          <w:b/>
          <w:i/>
          <w:szCs w:val="20"/>
          <w:lang w:eastAsia="cs-CZ"/>
        </w:rPr>
        <w:t xml:space="preserve"> na roky 2022-2026 (DNS)“</w:t>
      </w:r>
      <w:r w:rsidR="009703BC" w:rsidRPr="00314474">
        <w:rPr>
          <w:rFonts w:cs="Arial"/>
          <w:szCs w:val="20"/>
          <w:lang w:eastAsia="cs-CZ"/>
        </w:rPr>
        <w:t xml:space="preserve">- výzva č. </w:t>
      </w:r>
      <w:r w:rsidR="000A5B0E" w:rsidRPr="00314474">
        <w:rPr>
          <w:rFonts w:cs="Arial"/>
          <w:szCs w:val="20"/>
          <w:lang w:eastAsia="cs-CZ"/>
        </w:rPr>
        <w:t>2</w:t>
      </w:r>
      <w:bookmarkStart w:id="0" w:name="_GoBack"/>
      <w:bookmarkEnd w:id="0"/>
      <w:r w:rsidR="00FD30DE">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036862">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samofakturácii,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r w:rsidRPr="000A5B0E">
        <w:rPr>
          <w:rFonts w:ascii="Arial" w:hAnsi="Arial" w:cs="Arial"/>
          <w:sz w:val="20"/>
          <w:lang w:val="sk-SK"/>
        </w:rPr>
        <w:t>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w:t>
      </w:r>
      <w:r w:rsidRPr="00874F3B">
        <w:rPr>
          <w:rFonts w:ascii="Arial" w:hAnsi="Arial" w:cs="Arial"/>
          <w:sz w:val="20"/>
        </w:rPr>
        <w:t xml:space="preserve">: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lastRenderedPageBreak/>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1"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lastRenderedPageBreak/>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1"/>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samofaktúr v súlade s Dohodou o samofakturácií do 30 dní od vystavenia samofaktúry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samofaktúry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 zároveň súhlasí, že zo strany LESOV Slovenskej republiky, štátny podnik bude v prípade schválenia skonta úhrada znížená o alikvotnú výšku skonta, t. j. bude vykonaný zápočet. Dodávateľ </w:t>
      </w:r>
      <w:r w:rsidRPr="00646A67">
        <w:rPr>
          <w:rFonts w:cs="Arial"/>
          <w:szCs w:val="20"/>
          <w:lang w:eastAsia="cs-CZ"/>
        </w:rPr>
        <w:lastRenderedPageBreak/>
        <w:t xml:space="preserve">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646A67">
        <w:rPr>
          <w:rFonts w:cs="Arial"/>
          <w:szCs w:val="20"/>
          <w:lang w:eastAsia="cs-CZ"/>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dohodli, že v prípade, ak si dodávateľ nesplní povinnosti podľa bodu 9. 10. tohto článku zmluvy, je objednávateľ oprávnený vykonať upratanie a vyčistenie miesta výkonu </w:t>
      </w:r>
      <w:r w:rsidRPr="00646A67">
        <w:rPr>
          <w:rFonts w:cs="Arial"/>
          <w:szCs w:val="20"/>
          <w:lang w:eastAsia="cs-CZ"/>
        </w:rPr>
        <w:lastRenderedPageBreak/>
        <w:t>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Cieľom tohto aspektu je dôraz verejného obstarávateľa na kontrolu dodržiavania korektných vzťahov v dodávateľskom reťazci, najmä vo vzťahu k platobným podmienkam, resp. kontrolu úhrad dodávateľa svojim zazmluvneným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lastRenderedPageBreak/>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samofakturácií</w:t>
      </w:r>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shd w:val="clear" w:color="auto" w:fill="auto"/>
          </w:tcPr>
          <w:p w14:paraId="401830BB" w14:textId="23B90192" w:rsidR="00646A67" w:rsidRPr="00646A67" w:rsidRDefault="000A0A26" w:rsidP="003C75E6">
            <w:pPr>
              <w:spacing w:after="0"/>
              <w:rPr>
                <w:rFonts w:cs="Arial"/>
                <w:szCs w:val="20"/>
                <w:lang w:eastAsia="cs-CZ"/>
              </w:rPr>
            </w:pPr>
            <w:r>
              <w:rPr>
                <w:rFonts w:cs="Arial"/>
                <w:szCs w:val="20"/>
                <w:lang w:eastAsia="cs-CZ"/>
              </w:rPr>
              <w:t>V</w:t>
            </w:r>
            <w:r w:rsidR="00D235CC">
              <w:rPr>
                <w:rFonts w:cs="Arial"/>
                <w:szCs w:val="20"/>
                <w:lang w:eastAsia="cs-CZ"/>
              </w:rPr>
              <w:t>o Vranove nad Topľou</w:t>
            </w:r>
            <w:r>
              <w:rPr>
                <w:rFonts w:cs="Arial"/>
                <w:szCs w:val="20"/>
                <w:lang w:eastAsia="cs-CZ"/>
              </w:rPr>
              <w:t>,</w:t>
            </w:r>
            <w:r w:rsidR="00646A67" w:rsidRPr="00646A67">
              <w:rPr>
                <w:rFonts w:cs="Arial"/>
                <w:szCs w:val="20"/>
                <w:lang w:eastAsia="cs-CZ"/>
              </w:rPr>
              <w:t xml:space="preserve"> dňa </w:t>
            </w:r>
            <w:r w:rsidR="003C75E6">
              <w:rPr>
                <w:rFonts w:cs="Arial"/>
                <w:szCs w:val="20"/>
                <w:lang w:eastAsia="cs-CZ"/>
              </w:rPr>
              <w:t xml:space="preserve"> </w:t>
            </w:r>
            <w:r w:rsidR="00646A67" w:rsidRPr="00646A67">
              <w:rPr>
                <w:rFonts w:cs="Arial"/>
                <w:szCs w:val="20"/>
                <w:lang w:eastAsia="cs-CZ"/>
              </w:rPr>
              <w:t>..........</w:t>
            </w:r>
          </w:p>
        </w:tc>
        <w:tc>
          <w:tcPr>
            <w:tcW w:w="1512" w:type="dxa"/>
            <w:shd w:val="clear" w:color="auto" w:fill="auto"/>
          </w:tcPr>
          <w:p w14:paraId="7B123B9D" w14:textId="77777777" w:rsidR="00646A67" w:rsidRPr="00646A67" w:rsidRDefault="00646A67" w:rsidP="00646A67">
            <w:pPr>
              <w:spacing w:after="0"/>
              <w:rPr>
                <w:rFonts w:cs="Arial"/>
                <w:szCs w:val="20"/>
                <w:lang w:eastAsia="cs-CZ"/>
              </w:rPr>
            </w:pPr>
          </w:p>
        </w:tc>
        <w:tc>
          <w:tcPr>
            <w:tcW w:w="4084" w:type="dxa"/>
            <w:shd w:val="clear" w:color="auto" w:fill="auto"/>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shd w:val="clear" w:color="auto" w:fill="auto"/>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shd w:val="clear" w:color="auto" w:fill="auto"/>
          </w:tcPr>
          <w:p w14:paraId="7D1EA066" w14:textId="77777777" w:rsidR="00646A67" w:rsidRPr="00646A67" w:rsidRDefault="00646A67" w:rsidP="00646A67">
            <w:pPr>
              <w:spacing w:after="0"/>
              <w:rPr>
                <w:rFonts w:cs="Arial"/>
                <w:szCs w:val="20"/>
              </w:rPr>
            </w:pPr>
          </w:p>
        </w:tc>
        <w:tc>
          <w:tcPr>
            <w:tcW w:w="4140" w:type="dxa"/>
            <w:shd w:val="clear" w:color="auto" w:fill="auto"/>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646A67" w:rsidRPr="00646A67" w14:paraId="4EE055D9" w14:textId="77777777" w:rsidTr="00AF0E7E">
        <w:tc>
          <w:tcPr>
            <w:tcW w:w="3528" w:type="dxa"/>
            <w:tcBorders>
              <w:top w:val="dashed" w:sz="4" w:space="0" w:color="auto"/>
              <w:left w:val="nil"/>
              <w:bottom w:val="nil"/>
              <w:right w:val="nil"/>
            </w:tcBorders>
            <w:hideMark/>
          </w:tcPr>
          <w:p w14:paraId="17E34FED" w14:textId="2E65FA54" w:rsidR="003C75E6" w:rsidRDefault="003C75E6" w:rsidP="003C75E6">
            <w:pPr>
              <w:spacing w:after="0"/>
              <w:jc w:val="center"/>
              <w:rPr>
                <w:rFonts w:eastAsia="Calibri" w:cs="Arial"/>
                <w:szCs w:val="20"/>
              </w:rPr>
            </w:pPr>
            <w:r>
              <w:rPr>
                <w:rFonts w:eastAsia="Calibri" w:cs="Arial"/>
                <w:szCs w:val="20"/>
              </w:rPr>
              <w:t xml:space="preserve">  </w:t>
            </w:r>
            <w:r w:rsidRPr="003C75E6">
              <w:rPr>
                <w:rFonts w:eastAsia="Calibri" w:cs="Arial"/>
                <w:szCs w:val="20"/>
              </w:rPr>
              <w:t>Ing. Jaroslav Uchaľ</w:t>
            </w:r>
          </w:p>
          <w:p w14:paraId="399C9F3D" w14:textId="77FBF497" w:rsidR="00646A67" w:rsidRPr="00646A67" w:rsidRDefault="003C75E6" w:rsidP="003C75E6">
            <w:pPr>
              <w:spacing w:after="0"/>
              <w:jc w:val="center"/>
              <w:rPr>
                <w:rFonts w:cs="Arial"/>
                <w:szCs w:val="20"/>
              </w:rPr>
            </w:pPr>
            <w:r w:rsidRPr="003C75E6">
              <w:rPr>
                <w:rFonts w:eastAsia="Calibri" w:cs="Arial"/>
                <w:szCs w:val="20"/>
              </w:rPr>
              <w:t xml:space="preserve"> riaditeľ OZ Vihorlat</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19EDF" w14:textId="77777777" w:rsidR="00C27EEF" w:rsidRDefault="00C27EEF">
      <w:r>
        <w:separator/>
      </w:r>
    </w:p>
  </w:endnote>
  <w:endnote w:type="continuationSeparator" w:id="0">
    <w:p w14:paraId="3DBC2916" w14:textId="77777777" w:rsidR="00C27EEF" w:rsidRDefault="00C2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33210" w14:paraId="1187E6F0" w14:textId="77777777" w:rsidTr="002917A0">
              <w:tc>
                <w:tcPr>
                  <w:tcW w:w="7650" w:type="dxa"/>
                </w:tcPr>
                <w:p w14:paraId="1E337A2D" w14:textId="77777777" w:rsidR="00433210" w:rsidRDefault="00433210" w:rsidP="001474DF">
                  <w:pPr>
                    <w:pStyle w:val="Pta"/>
                  </w:pPr>
                </w:p>
              </w:tc>
              <w:tc>
                <w:tcPr>
                  <w:tcW w:w="1412" w:type="dxa"/>
                </w:tcPr>
                <w:p w14:paraId="37E2C40D" w14:textId="033F5886" w:rsidR="00433210" w:rsidRDefault="0043321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14474">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14474">
                    <w:rPr>
                      <w:bCs/>
                      <w:noProof/>
                      <w:sz w:val="18"/>
                      <w:szCs w:val="18"/>
                    </w:rPr>
                    <w:t>9</w:t>
                  </w:r>
                  <w:r w:rsidRPr="007C3D49">
                    <w:rPr>
                      <w:bCs/>
                      <w:sz w:val="18"/>
                      <w:szCs w:val="18"/>
                    </w:rPr>
                    <w:fldChar w:fldCharType="end"/>
                  </w:r>
                </w:p>
              </w:tc>
            </w:tr>
          </w:tbl>
          <w:p w14:paraId="25B35237" w14:textId="77777777" w:rsidR="00433210" w:rsidRPr="002917A0" w:rsidRDefault="00C27EE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D029911" w14:textId="77777777" w:rsidR="00433210" w:rsidRDefault="00433210">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433210" w:rsidRDefault="004332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A034B" w14:textId="77777777" w:rsidR="00C27EEF" w:rsidRDefault="00C27EEF">
      <w:r>
        <w:separator/>
      </w:r>
    </w:p>
  </w:footnote>
  <w:footnote w:type="continuationSeparator" w:id="0">
    <w:p w14:paraId="54F894A1" w14:textId="77777777" w:rsidR="00C27EEF" w:rsidRDefault="00C27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33210" w14:paraId="44A46BD4" w14:textId="77777777" w:rsidTr="007C3D49">
      <w:tc>
        <w:tcPr>
          <w:tcW w:w="1271" w:type="dxa"/>
        </w:tcPr>
        <w:p w14:paraId="484A7A7A" w14:textId="77777777" w:rsidR="00433210" w:rsidRDefault="00433210"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433210" w:rsidRDefault="00433210"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433210" w:rsidRPr="007C3D49" w:rsidRDefault="00433210" w:rsidP="007C3D49">
          <w:pPr>
            <w:pStyle w:val="Nadpis4"/>
            <w:tabs>
              <w:tab w:val="clear" w:pos="576"/>
            </w:tabs>
            <w:rPr>
              <w:color w:val="005941"/>
              <w:sz w:val="24"/>
            </w:rPr>
          </w:pPr>
          <w:r w:rsidRPr="007C3D49">
            <w:rPr>
              <w:color w:val="005941"/>
              <w:sz w:val="24"/>
            </w:rPr>
            <w:t>generálne riaditeľstvo</w:t>
          </w:r>
        </w:p>
        <w:p w14:paraId="5E42D2F8" w14:textId="77777777" w:rsidR="00433210" w:rsidRDefault="00433210" w:rsidP="007C3D49">
          <w:pPr>
            <w:pStyle w:val="Nadpis4"/>
            <w:tabs>
              <w:tab w:val="clear" w:pos="576"/>
            </w:tabs>
          </w:pPr>
          <w:r w:rsidRPr="007C3D49">
            <w:rPr>
              <w:color w:val="005941"/>
              <w:sz w:val="24"/>
            </w:rPr>
            <w:t>Námestie SNP 8, 975 66 Banská Bystrica</w:t>
          </w:r>
        </w:p>
      </w:tc>
    </w:tr>
  </w:tbl>
  <w:p w14:paraId="72C987E4" w14:textId="77777777" w:rsidR="00433210" w:rsidRDefault="0043321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7"/>
  </w:num>
  <w:num w:numId="2">
    <w:abstractNumId w:val="55"/>
  </w:num>
  <w:num w:numId="3">
    <w:abstractNumId w:val="65"/>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5"/>
  </w:num>
  <w:num w:numId="8">
    <w:abstractNumId w:val="20"/>
  </w:num>
  <w:num w:numId="9">
    <w:abstractNumId w:val="15"/>
  </w:num>
  <w:num w:numId="10">
    <w:abstractNumId w:val="5"/>
  </w:num>
  <w:num w:numId="11">
    <w:abstractNumId w:val="11"/>
  </w:num>
  <w:num w:numId="12">
    <w:abstractNumId w:val="89"/>
  </w:num>
  <w:num w:numId="13">
    <w:abstractNumId w:val="21"/>
  </w:num>
  <w:num w:numId="14">
    <w:abstractNumId w:val="72"/>
  </w:num>
  <w:num w:numId="15">
    <w:abstractNumId w:val="67"/>
  </w:num>
  <w:num w:numId="16">
    <w:abstractNumId w:val="43"/>
  </w:num>
  <w:num w:numId="17">
    <w:abstractNumId w:val="60"/>
  </w:num>
  <w:num w:numId="18">
    <w:abstractNumId w:val="83"/>
  </w:num>
  <w:num w:numId="19">
    <w:abstractNumId w:val="52"/>
    <w:lvlOverride w:ilvl="1">
      <w:lvl w:ilvl="1">
        <w:start w:val="1"/>
        <w:numFmt w:val="decimal"/>
        <w:isLgl/>
        <w:lvlText w:val="%1.%2."/>
        <w:lvlJc w:val="left"/>
        <w:pPr>
          <w:tabs>
            <w:tab w:val="num" w:pos="780"/>
          </w:tabs>
          <w:ind w:left="780" w:hanging="420"/>
        </w:pPr>
      </w:lvl>
    </w:lvlOverride>
  </w:num>
  <w:num w:numId="20">
    <w:abstractNumId w:val="63"/>
  </w:num>
  <w:num w:numId="21">
    <w:abstractNumId w:val="61"/>
  </w:num>
  <w:num w:numId="22">
    <w:abstractNumId w:val="35"/>
  </w:num>
  <w:num w:numId="23">
    <w:abstractNumId w:val="93"/>
  </w:num>
  <w:num w:numId="24">
    <w:abstractNumId w:val="76"/>
  </w:num>
  <w:num w:numId="25">
    <w:abstractNumId w:val="85"/>
  </w:num>
  <w:num w:numId="26">
    <w:abstractNumId w:val="56"/>
  </w:num>
  <w:num w:numId="27">
    <w:abstractNumId w:val="58"/>
  </w:num>
  <w:num w:numId="28">
    <w:abstractNumId w:val="82"/>
  </w:num>
  <w:num w:numId="29">
    <w:abstractNumId w:val="54"/>
  </w:num>
  <w:num w:numId="30">
    <w:abstractNumId w:val="88"/>
  </w:num>
  <w:num w:numId="31">
    <w:abstractNumId w:val="22"/>
  </w:num>
  <w:num w:numId="32">
    <w:abstractNumId w:val="31"/>
  </w:num>
  <w:num w:numId="33">
    <w:abstractNumId w:val="17"/>
  </w:num>
  <w:num w:numId="34">
    <w:abstractNumId w:val="26"/>
  </w:num>
  <w:num w:numId="35">
    <w:abstractNumId w:val="45"/>
  </w:num>
  <w:num w:numId="36">
    <w:abstractNumId w:val="38"/>
  </w:num>
  <w:num w:numId="37">
    <w:abstractNumId w:val="27"/>
  </w:num>
  <w:num w:numId="38">
    <w:abstractNumId w:val="64"/>
  </w:num>
  <w:num w:numId="39">
    <w:abstractNumId w:val="9"/>
  </w:num>
  <w:num w:numId="40">
    <w:abstractNumId w:val="92"/>
  </w:num>
  <w:num w:numId="41">
    <w:abstractNumId w:val="49"/>
  </w:num>
  <w:num w:numId="42">
    <w:abstractNumId w:val="47"/>
  </w:num>
  <w:num w:numId="43">
    <w:abstractNumId w:val="84"/>
  </w:num>
  <w:num w:numId="44">
    <w:abstractNumId w:val="40"/>
  </w:num>
  <w:num w:numId="45">
    <w:abstractNumId w:val="7"/>
  </w:num>
  <w:num w:numId="46">
    <w:abstractNumId w:val="77"/>
  </w:num>
  <w:num w:numId="47">
    <w:abstractNumId w:val="70"/>
  </w:num>
  <w:num w:numId="48">
    <w:abstractNumId w:val="80"/>
  </w:num>
  <w:num w:numId="49">
    <w:abstractNumId w:val="74"/>
  </w:num>
  <w:num w:numId="50">
    <w:abstractNumId w:val="14"/>
  </w:num>
  <w:num w:numId="51">
    <w:abstractNumId w:val="13"/>
  </w:num>
  <w:num w:numId="52">
    <w:abstractNumId w:val="4"/>
  </w:num>
  <w:num w:numId="53">
    <w:abstractNumId w:val="6"/>
  </w:num>
  <w:num w:numId="54">
    <w:abstractNumId w:val="16"/>
  </w:num>
  <w:num w:numId="55">
    <w:abstractNumId w:val="96"/>
  </w:num>
  <w:num w:numId="56">
    <w:abstractNumId w:val="95"/>
  </w:num>
  <w:num w:numId="57">
    <w:abstractNumId w:val="39"/>
  </w:num>
  <w:num w:numId="58">
    <w:abstractNumId w:val="86"/>
  </w:num>
  <w:num w:numId="59">
    <w:abstractNumId w:val="71"/>
  </w:num>
  <w:num w:numId="60">
    <w:abstractNumId w:val="24"/>
  </w:num>
  <w:num w:numId="61">
    <w:abstractNumId w:val="28"/>
  </w:num>
  <w:num w:numId="62">
    <w:abstractNumId w:val="46"/>
  </w:num>
  <w:num w:numId="63">
    <w:abstractNumId w:val="59"/>
  </w:num>
  <w:num w:numId="64">
    <w:abstractNumId w:val="19"/>
  </w:num>
  <w:num w:numId="65">
    <w:abstractNumId w:val="44"/>
  </w:num>
  <w:num w:numId="66">
    <w:abstractNumId w:val="51"/>
  </w:num>
  <w:num w:numId="67">
    <w:abstractNumId w:val="18"/>
  </w:num>
  <w:num w:numId="68">
    <w:abstractNumId w:val="34"/>
  </w:num>
  <w:num w:numId="69">
    <w:abstractNumId w:val="69"/>
  </w:num>
  <w:num w:numId="70">
    <w:abstractNumId w:val="50"/>
  </w:num>
  <w:num w:numId="71">
    <w:abstractNumId w:val="53"/>
  </w:num>
  <w:num w:numId="72">
    <w:abstractNumId w:val="94"/>
  </w:num>
  <w:num w:numId="73">
    <w:abstractNumId w:val="30"/>
  </w:num>
  <w:num w:numId="74">
    <w:abstractNumId w:val="3"/>
  </w:num>
  <w:num w:numId="75">
    <w:abstractNumId w:val="36"/>
  </w:num>
  <w:num w:numId="76">
    <w:abstractNumId w:val="68"/>
  </w:num>
  <w:num w:numId="77">
    <w:abstractNumId w:val="12"/>
  </w:num>
  <w:num w:numId="78">
    <w:abstractNumId w:val="75"/>
  </w:num>
  <w:num w:numId="79">
    <w:abstractNumId w:val="78"/>
  </w:num>
  <w:num w:numId="80">
    <w:abstractNumId w:val="8"/>
  </w:num>
  <w:num w:numId="81">
    <w:abstractNumId w:val="91"/>
  </w:num>
  <w:num w:numId="82">
    <w:abstractNumId w:val="79"/>
  </w:num>
  <w:num w:numId="83">
    <w:abstractNumId w:val="87"/>
  </w:num>
  <w:num w:numId="84">
    <w:abstractNumId w:val="2"/>
  </w:num>
  <w:num w:numId="85">
    <w:abstractNumId w:val="81"/>
  </w:num>
  <w:num w:numId="86">
    <w:abstractNumId w:val="90"/>
  </w:num>
  <w:num w:numId="87">
    <w:abstractNumId w:val="10"/>
  </w:num>
  <w:num w:numId="88">
    <w:abstractNumId w:val="66"/>
  </w:num>
  <w:num w:numId="89">
    <w:abstractNumId w:val="41"/>
  </w:num>
  <w:num w:numId="90">
    <w:abstractNumId w:val="32"/>
  </w:num>
  <w:num w:numId="91">
    <w:abstractNumId w:val="73"/>
  </w:num>
  <w:num w:numId="92">
    <w:abstractNumId w:val="42"/>
  </w:num>
  <w:num w:numId="93">
    <w:abstractNumId w:val="33"/>
  </w:num>
  <w:num w:numId="94">
    <w:abstractNumId w:val="37"/>
  </w:num>
  <w:num w:numId="95">
    <w:abstractNumId w:val="62"/>
  </w:num>
  <w:num w:numId="96">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862"/>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783"/>
    <w:rsid w:val="000A18DC"/>
    <w:rsid w:val="000A1FDA"/>
    <w:rsid w:val="000A20F1"/>
    <w:rsid w:val="000A2A0D"/>
    <w:rsid w:val="000A30C5"/>
    <w:rsid w:val="000A3508"/>
    <w:rsid w:val="000A3D70"/>
    <w:rsid w:val="000A4323"/>
    <w:rsid w:val="000A57A6"/>
    <w:rsid w:val="000A57E3"/>
    <w:rsid w:val="000A5B0E"/>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474"/>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5E6"/>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210"/>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E3E"/>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132"/>
    <w:rsid w:val="009E6211"/>
    <w:rsid w:val="009E62C7"/>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1B7E"/>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6ECC"/>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EF"/>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5C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0D46"/>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3B7A"/>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9049F-A9F7-4918-B9B7-3C8C0593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4304</Words>
  <Characters>24534</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28781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6</cp:revision>
  <cp:lastPrinted>2022-10-19T16:11:00Z</cp:lastPrinted>
  <dcterms:created xsi:type="dcterms:W3CDTF">2023-08-15T09:22:00Z</dcterms:created>
  <dcterms:modified xsi:type="dcterms:W3CDTF">2024-09-03T08:45:00Z</dcterms:modified>
  <cp:category>EIZ</cp:category>
</cp:coreProperties>
</file>