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Default="00890EC8" w:rsidP="00890EC8">
      <w:pPr>
        <w:pStyle w:val="Default"/>
      </w:pPr>
      <w:r>
        <w:t xml:space="preserve">               </w:t>
      </w:r>
    </w:p>
    <w:p w:rsidR="00585511" w:rsidRDefault="00585511" w:rsidP="00890EC8">
      <w:pPr>
        <w:pStyle w:val="Default"/>
      </w:pPr>
    </w:p>
    <w:p w:rsidR="003106F9" w:rsidRDefault="003106F9" w:rsidP="00890EC8">
      <w:pPr>
        <w:pStyle w:val="Default"/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6F01D5" w:rsidTr="00CD6ABB">
        <w:trPr>
          <w:trHeight w:val="1701"/>
        </w:trPr>
        <w:tc>
          <w:tcPr>
            <w:tcW w:w="4962" w:type="dxa"/>
          </w:tcPr>
          <w:p w:rsidR="006C3F8E" w:rsidRPr="00611455" w:rsidRDefault="00E67FA2" w:rsidP="00CD6ABB">
            <w:pPr>
              <w:pStyle w:val="Bezriadkovania"/>
              <w:ind w:left="176" w:firstLine="425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Pre všetkých záujemcov</w:t>
            </w:r>
          </w:p>
        </w:tc>
      </w:tr>
    </w:tbl>
    <w:p w:rsidR="003106F9" w:rsidRDefault="003106F9" w:rsidP="00890EC8">
      <w:pPr>
        <w:pStyle w:val="Default"/>
      </w:pPr>
    </w:p>
    <w:p w:rsidR="00890EC8" w:rsidRDefault="00890EC8" w:rsidP="00890EC8">
      <w:pPr>
        <w:pStyle w:val="Default"/>
      </w:pPr>
      <w:r>
        <w:t xml:space="preserve">                                  </w:t>
      </w: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6F01D5" w:rsidTr="00CD6ABB">
        <w:trPr>
          <w:trHeight w:val="1061"/>
        </w:trPr>
        <w:tc>
          <w:tcPr>
            <w:tcW w:w="2720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Váš list číslo / zo dňa:</w:t>
            </w:r>
          </w:p>
        </w:tc>
        <w:tc>
          <w:tcPr>
            <w:tcW w:w="1716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Naše číslo:</w:t>
            </w:r>
          </w:p>
          <w:p w:rsidR="00890EC8" w:rsidRPr="00EF49C4" w:rsidRDefault="00890EC8" w:rsidP="009620A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31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Vybavuje / linka:</w:t>
            </w:r>
          </w:p>
          <w:p w:rsidR="00CF54DB" w:rsidRPr="00CF54DB" w:rsidRDefault="00BC3B75" w:rsidP="00CF54DB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Ing. Janka Kavčiaková</w:t>
            </w:r>
          </w:p>
          <w:p w:rsidR="00CF54DB" w:rsidRDefault="00515873" w:rsidP="00873D5E">
            <w:pPr>
              <w:pStyle w:val="Bezriadkovania"/>
              <w:rPr>
                <w:rFonts w:ascii="Arial" w:hAnsi="Arial" w:cs="Arial"/>
                <w:sz w:val="16"/>
                <w:szCs w:val="16"/>
                <w:lang w:eastAsia="sk-SK"/>
              </w:rPr>
            </w:pPr>
            <w:hyperlink r:id="rId8" w:history="1">
              <w:r w:rsidR="00BC3B75" w:rsidRPr="003B0301">
                <w:rPr>
                  <w:rStyle w:val="Hypertextovprepojenie"/>
                  <w:rFonts w:ascii="Arial" w:hAnsi="Arial" w:cs="Arial"/>
                  <w:sz w:val="16"/>
                  <w:szCs w:val="16"/>
                  <w:lang w:eastAsia="sk-SK"/>
                </w:rPr>
                <w:t>janka.kavciakova@nczisk.skk</w:t>
              </w:r>
            </w:hyperlink>
          </w:p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 xml:space="preserve">tel.: 02/57 269 </w:t>
            </w:r>
            <w:r w:rsidR="00BC3B75">
              <w:rPr>
                <w:rFonts w:asciiTheme="minorHAnsi" w:hAnsiTheme="minorHAnsi"/>
                <w:sz w:val="20"/>
                <w:szCs w:val="20"/>
              </w:rPr>
              <w:t>741</w:t>
            </w:r>
          </w:p>
        </w:tc>
        <w:tc>
          <w:tcPr>
            <w:tcW w:w="2720" w:type="dxa"/>
          </w:tcPr>
          <w:p w:rsidR="00890EC8" w:rsidRPr="00EF49C4" w:rsidRDefault="00815669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Bratislava</w:t>
            </w:r>
          </w:p>
          <w:p w:rsidR="00890EC8" w:rsidRPr="00EF49C4" w:rsidRDefault="00E47F76" w:rsidP="00E47F76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5.3.2020</w:t>
            </w:r>
          </w:p>
        </w:tc>
      </w:tr>
    </w:tbl>
    <w:p w:rsidR="00CD6ABB" w:rsidRDefault="00CD6ABB" w:rsidP="00890EC8">
      <w:pPr>
        <w:pStyle w:val="Default"/>
        <w:rPr>
          <w:rFonts w:ascii="Calibri" w:hAnsi="Calibri"/>
          <w:b/>
          <w:bCs/>
        </w:rPr>
      </w:pPr>
    </w:p>
    <w:p w:rsidR="00B22F32" w:rsidRDefault="00B22F32" w:rsidP="00890EC8">
      <w:pPr>
        <w:pStyle w:val="Default"/>
        <w:rPr>
          <w:rFonts w:ascii="Calibri" w:hAnsi="Calibri"/>
          <w:b/>
          <w:bCs/>
        </w:rPr>
      </w:pPr>
    </w:p>
    <w:p w:rsidR="00FE114D" w:rsidRPr="008566A4" w:rsidRDefault="00E67FA2" w:rsidP="00FE114D">
      <w:pPr>
        <w:pStyle w:val="Default"/>
      </w:pPr>
      <w:r w:rsidRPr="008566A4">
        <w:t>Na základe žiadosti záujemcu o vysvetlenie súťažných podkladov zverejňujeme  od</w:t>
      </w:r>
      <w:r w:rsidR="00FE114D" w:rsidRPr="008566A4">
        <w:t>povede verejného obstarávateľa:</w:t>
      </w:r>
    </w:p>
    <w:p w:rsidR="00FE114D" w:rsidRPr="008566A4" w:rsidRDefault="00FE114D" w:rsidP="00FE114D">
      <w:pPr>
        <w:pStyle w:val="Default"/>
      </w:pPr>
    </w:p>
    <w:p w:rsidR="00FE114D" w:rsidRPr="008566A4" w:rsidRDefault="00FE114D" w:rsidP="00FE114D">
      <w:pPr>
        <w:pStyle w:val="Default"/>
        <w:rPr>
          <w:rStyle w:val="Siln"/>
          <w:b w:val="0"/>
          <w:bCs w:val="0"/>
        </w:rPr>
      </w:pPr>
      <w:r w:rsidRPr="008566A4">
        <w:rPr>
          <w:rStyle w:val="Siln"/>
        </w:rPr>
        <w:t>Dotaz k časti:</w:t>
      </w:r>
    </w:p>
    <w:p w:rsidR="00FE114D" w:rsidRPr="008566A4" w:rsidRDefault="00756C4D" w:rsidP="00E67FA2">
      <w:pPr>
        <w:rPr>
          <w:rStyle w:val="Siln"/>
          <w:rFonts w:ascii="Times New Roman" w:hAnsi="Times New Roman"/>
          <w:b w:val="0"/>
          <w:sz w:val="24"/>
          <w:szCs w:val="24"/>
        </w:rPr>
      </w:pPr>
      <w:r w:rsidRPr="008566A4">
        <w:rPr>
          <w:rStyle w:val="Siln"/>
          <w:rFonts w:ascii="Times New Roman" w:hAnsi="Times New Roman"/>
          <w:b w:val="0"/>
          <w:sz w:val="24"/>
          <w:szCs w:val="24"/>
        </w:rPr>
        <w:t>Pre prístup na portá</w:t>
      </w:r>
      <w:r w:rsidR="00FE114D"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l (smartphone, tablet, PC) pre operačné systémy a platformy z roku 2018 a vyššom, požadovanými platformami (Windows, Linux, </w:t>
      </w:r>
      <w:proofErr w:type="spellStart"/>
      <w:r w:rsidR="00FE114D" w:rsidRPr="008566A4">
        <w:rPr>
          <w:rStyle w:val="Siln"/>
          <w:rFonts w:ascii="Times New Roman" w:hAnsi="Times New Roman"/>
          <w:b w:val="0"/>
          <w:sz w:val="24"/>
          <w:szCs w:val="24"/>
        </w:rPr>
        <w:t>iOS</w:t>
      </w:r>
      <w:proofErr w:type="spellEnd"/>
      <w:r w:rsidR="00FE114D" w:rsidRPr="008566A4">
        <w:rPr>
          <w:rStyle w:val="Siln"/>
          <w:rFonts w:ascii="Times New Roman" w:hAnsi="Times New Roman"/>
          <w:b w:val="0"/>
          <w:sz w:val="24"/>
          <w:szCs w:val="24"/>
        </w:rPr>
        <w:t>, Android)</w:t>
      </w: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  <w:r w:rsidRPr="008566A4">
        <w:rPr>
          <w:rStyle w:val="Siln"/>
          <w:rFonts w:ascii="Times New Roman" w:hAnsi="Times New Roman"/>
          <w:sz w:val="24"/>
          <w:szCs w:val="24"/>
        </w:rPr>
        <w:t>Otázka č.1</w:t>
      </w:r>
    </w:p>
    <w:p w:rsidR="00FE114D" w:rsidRPr="008566A4" w:rsidRDefault="00FE114D" w:rsidP="00E67FA2">
      <w:pPr>
        <w:rPr>
          <w:rStyle w:val="Siln"/>
          <w:rFonts w:ascii="Times New Roman" w:hAnsi="Times New Roman"/>
          <w:b w:val="0"/>
          <w:sz w:val="24"/>
          <w:szCs w:val="24"/>
        </w:rPr>
      </w:pPr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Je požadovaný prístup pre všetky role  </w:t>
      </w:r>
      <w:proofErr w:type="spellStart"/>
      <w:r w:rsidRPr="008566A4">
        <w:rPr>
          <w:rStyle w:val="Siln"/>
          <w:rFonts w:ascii="Times New Roman" w:hAnsi="Times New Roman"/>
          <w:b w:val="0"/>
          <w:sz w:val="24"/>
          <w:szCs w:val="24"/>
        </w:rPr>
        <w:t>t.j</w:t>
      </w:r>
      <w:proofErr w:type="spellEnd"/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. aj </w:t>
      </w:r>
      <w:proofErr w:type="spellStart"/>
      <w:r w:rsidRPr="008566A4">
        <w:rPr>
          <w:rStyle w:val="Siln"/>
          <w:rFonts w:ascii="Times New Roman" w:hAnsi="Times New Roman"/>
          <w:b w:val="0"/>
          <w:sz w:val="24"/>
          <w:szCs w:val="24"/>
        </w:rPr>
        <w:t>Zprac</w:t>
      </w:r>
      <w:proofErr w:type="spellEnd"/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, a teda je nevyhnutné využitie </w:t>
      </w:r>
      <w:proofErr w:type="spellStart"/>
      <w:r w:rsidRPr="008566A4">
        <w:rPr>
          <w:rStyle w:val="Siln"/>
          <w:rFonts w:ascii="Times New Roman" w:hAnsi="Times New Roman"/>
          <w:b w:val="0"/>
          <w:sz w:val="24"/>
          <w:szCs w:val="24"/>
        </w:rPr>
        <w:t>Cryptocontrollera</w:t>
      </w:r>
      <w:proofErr w:type="spellEnd"/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. Predpokladá sa  že v čase projektu bude existovať takýto </w:t>
      </w:r>
      <w:proofErr w:type="spellStart"/>
      <w:r w:rsidRPr="008566A4">
        <w:rPr>
          <w:rStyle w:val="Siln"/>
          <w:rFonts w:ascii="Times New Roman" w:hAnsi="Times New Roman"/>
          <w:b w:val="0"/>
          <w:sz w:val="24"/>
          <w:szCs w:val="24"/>
        </w:rPr>
        <w:t>cryptocontroller</w:t>
      </w:r>
      <w:proofErr w:type="spellEnd"/>
      <w:r w:rsidRPr="008566A4">
        <w:rPr>
          <w:rStyle w:val="Siln"/>
          <w:rFonts w:ascii="Times New Roman" w:hAnsi="Times New Roman"/>
          <w:b w:val="0"/>
          <w:sz w:val="24"/>
          <w:szCs w:val="24"/>
        </w:rPr>
        <w:t>?</w:t>
      </w: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  <w:r w:rsidRPr="008566A4">
        <w:rPr>
          <w:rStyle w:val="Siln"/>
          <w:rFonts w:ascii="Times New Roman" w:hAnsi="Times New Roman"/>
          <w:sz w:val="24"/>
          <w:szCs w:val="24"/>
        </w:rPr>
        <w:t>Odpoveď č. 1</w:t>
      </w:r>
    </w:p>
    <w:p w:rsidR="00756C4D" w:rsidRPr="008566A4" w:rsidRDefault="00756C4D" w:rsidP="00756C4D">
      <w:pPr>
        <w:numPr>
          <w:ilvl w:val="1"/>
          <w:numId w:val="8"/>
        </w:numPr>
        <w:spacing w:after="160" w:line="252" w:lineRule="auto"/>
        <w:ind w:left="142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Áno očakáva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sa prístup všetkými rolami. Prístup k službám bude riadené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nastaveniami </w:t>
      </w:r>
      <w:proofErr w:type="spellStart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app</w:t>
      </w:r>
      <w:proofErr w:type="spellEnd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roli a ich uplatnenia pou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ží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vate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ľmi zaradenými do týchto roli na základe identifiká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cie z </w:t>
      </w:r>
      <w:proofErr w:type="spellStart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ePZP</w:t>
      </w:r>
      <w:proofErr w:type="spellEnd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a </w:t>
      </w:r>
      <w:proofErr w:type="spellStart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ePPZ</w:t>
      </w:r>
      <w:proofErr w:type="spellEnd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756C4D" w:rsidRPr="008566A4" w:rsidRDefault="00756C4D" w:rsidP="00756C4D">
      <w:pPr>
        <w:numPr>
          <w:ilvl w:val="1"/>
          <w:numId w:val="8"/>
        </w:numPr>
        <w:spacing w:after="160" w:line="252" w:lineRule="auto"/>
        <w:ind w:left="142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Rozšírenie riešenia </w:t>
      </w:r>
      <w:proofErr w:type="spellStart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cry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ptocontrollera</w:t>
      </w:r>
      <w:proofErr w:type="spellEnd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pre ostat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né platformy je závislé od realizácie prebiehajú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cich projektov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verejného obstarávateľ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a. Zmena </w:t>
      </w:r>
      <w:proofErr w:type="spellStart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cryptocontrollera</w:t>
      </w:r>
      <w:proofErr w:type="spellEnd"/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nie je predmetom tejto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verejnej súťaže. Očakávame riešenie, ktoré na strane servera nemá limity pre volania  externý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ch IS (klientov) vyu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ží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vaj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ú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cich iba platformu Windows.</w:t>
      </w:r>
    </w:p>
    <w:p w:rsidR="00756C4D" w:rsidRPr="008566A4" w:rsidRDefault="00756C4D" w:rsidP="00E67FA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  <w:r w:rsidRPr="008566A4">
        <w:rPr>
          <w:rStyle w:val="Siln"/>
          <w:rFonts w:ascii="Times New Roman" w:hAnsi="Times New Roman"/>
          <w:sz w:val="24"/>
          <w:szCs w:val="24"/>
        </w:rPr>
        <w:t>Otázka č. 2:</w:t>
      </w:r>
    </w:p>
    <w:p w:rsidR="00FE114D" w:rsidRPr="008566A4" w:rsidRDefault="00FE114D" w:rsidP="00E67FA2">
      <w:pPr>
        <w:rPr>
          <w:rStyle w:val="Siln"/>
          <w:rFonts w:ascii="Times New Roman" w:hAnsi="Times New Roman"/>
          <w:b w:val="0"/>
          <w:sz w:val="24"/>
          <w:szCs w:val="24"/>
        </w:rPr>
      </w:pPr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Ak </w:t>
      </w:r>
      <w:proofErr w:type="spellStart"/>
      <w:r w:rsidRPr="008566A4">
        <w:rPr>
          <w:rStyle w:val="Siln"/>
          <w:rFonts w:ascii="Times New Roman" w:hAnsi="Times New Roman"/>
          <w:b w:val="0"/>
          <w:sz w:val="24"/>
          <w:szCs w:val="24"/>
        </w:rPr>
        <w:t>cryptocotroller</w:t>
      </w:r>
      <w:proofErr w:type="spellEnd"/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 v otázke č. 1 neexistuje, je požadovaný ako súčasť predmetu tohto verejného obstarávania? </w:t>
      </w:r>
    </w:p>
    <w:p w:rsidR="00756C4D" w:rsidRPr="008566A4" w:rsidRDefault="00756C4D" w:rsidP="00756C4D">
      <w:pPr>
        <w:rPr>
          <w:rStyle w:val="Siln"/>
          <w:rFonts w:ascii="Times New Roman" w:hAnsi="Times New Roman"/>
          <w:b w:val="0"/>
          <w:sz w:val="24"/>
          <w:szCs w:val="24"/>
        </w:rPr>
      </w:pPr>
      <w:r w:rsidRPr="008566A4">
        <w:rPr>
          <w:rStyle w:val="Siln"/>
          <w:rFonts w:ascii="Times New Roman" w:hAnsi="Times New Roman"/>
          <w:b w:val="0"/>
          <w:sz w:val="24"/>
          <w:szCs w:val="24"/>
        </w:rPr>
        <w:t xml:space="preserve">Odpoveď č.2 </w:t>
      </w:r>
    </w:p>
    <w:p w:rsidR="00756C4D" w:rsidRPr="008566A4" w:rsidRDefault="00756C4D" w:rsidP="00756C4D">
      <w:pPr>
        <w:rPr>
          <w:rFonts w:ascii="Times New Roman" w:hAnsi="Times New Roman"/>
          <w:bCs/>
          <w:sz w:val="24"/>
          <w:szCs w:val="24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Uveden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ý komponent v otázke č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2 nie je predmetom dodania podľ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opisu predmetu zákazky</w:t>
      </w: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</w:p>
    <w:p w:rsidR="00FE114D" w:rsidRPr="008566A4" w:rsidRDefault="00FE114D" w:rsidP="00FE114D">
      <w:pPr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E114D" w:rsidRPr="008566A4" w:rsidRDefault="00FE114D" w:rsidP="00FE114D">
      <w:pPr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E114D" w:rsidRPr="008566A4" w:rsidRDefault="00FE114D" w:rsidP="008566A4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E114D" w:rsidRPr="008566A4" w:rsidRDefault="00FE114D" w:rsidP="008566A4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E114D" w:rsidRPr="008566A4" w:rsidRDefault="00FE114D" w:rsidP="008566A4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E114D" w:rsidRPr="008566A4" w:rsidRDefault="00FE114D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Otázka č. 3.</w:t>
      </w:r>
    </w:p>
    <w:p w:rsidR="00FE114D" w:rsidRPr="008566A4" w:rsidRDefault="00FE114D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Pri šifrovacích operáciách vyžadujúcich použitie HPRO karty sa predpokladá použitie </w:t>
      </w:r>
      <w:r w:rsidR="0001484E" w:rsidRPr="008566A4">
        <w:rPr>
          <w:rFonts w:ascii="Times New Roman" w:eastAsia="Times New Roman" w:hAnsi="Times New Roman"/>
          <w:sz w:val="24"/>
          <w:szCs w:val="24"/>
          <w:lang w:eastAsia="sk-SK"/>
        </w:rPr>
        <w:t>č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í</w:t>
      </w:r>
      <w:r w:rsidR="0001484E" w:rsidRPr="008566A4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ačiek kariet pre mobilné platformy? </w:t>
      </w:r>
    </w:p>
    <w:p w:rsidR="00756C4D" w:rsidRPr="008566A4" w:rsidRDefault="00756C4D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Odpoveď č. 3</w:t>
      </w:r>
    </w:p>
    <w:p w:rsidR="00756C4D" w:rsidRPr="008566A4" w:rsidRDefault="00756C4D" w:rsidP="008566A4">
      <w:pPr>
        <w:spacing w:after="160"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V kontexte prebiehajúceho obstarávania nerozumieme otázke. Prosí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me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záujemcu, aby ná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m bli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žš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ie vysvetlil, s ktor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m procesn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m k</w:t>
      </w:r>
      <w:r w:rsidR="008566A4" w:rsidRPr="008566A4">
        <w:rPr>
          <w:rFonts w:ascii="Times New Roman" w:eastAsia="Times New Roman" w:hAnsi="Times New Roman"/>
          <w:sz w:val="24"/>
          <w:szCs w:val="24"/>
          <w:lang w:eastAsia="sk-SK"/>
        </w:rPr>
        <w:t>rokom alebo častou riešenia uvedená otázka súvisí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="009620AE">
        <w:rPr>
          <w:rFonts w:ascii="Times New Roman" w:eastAsia="Times New Roman" w:hAnsi="Times New Roman"/>
          <w:sz w:val="24"/>
          <w:szCs w:val="24"/>
          <w:lang w:eastAsia="sk-SK"/>
        </w:rPr>
        <w:t xml:space="preserve"> v čom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m</w:t>
      </w:r>
      <w:r w:rsidR="008566A4" w:rsidRPr="008566A4">
        <w:rPr>
          <w:rFonts w:ascii="Times New Roman" w:eastAsia="Times New Roman" w:hAnsi="Times New Roman"/>
          <w:sz w:val="24"/>
          <w:szCs w:val="24"/>
          <w:lang w:eastAsia="sk-SK"/>
        </w:rPr>
        <w:t>á záujemca  problém navrhnúť rieš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enie?</w:t>
      </w:r>
    </w:p>
    <w:p w:rsidR="00756C4D" w:rsidRPr="008566A4" w:rsidRDefault="00756C4D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1484E" w:rsidRPr="008566A4" w:rsidRDefault="0001484E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Otázka č. 4.</w:t>
      </w:r>
    </w:p>
    <w:p w:rsidR="0001484E" w:rsidRPr="008566A4" w:rsidRDefault="0001484E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Ak odpoveď na otázku č. 3 je nie môžeme predpokladať, že v čase projektu bude existovať u verejného obstarávateľa riešenie podporujúce vzdialený podpis a dešifrovanie? </w:t>
      </w:r>
    </w:p>
    <w:p w:rsidR="008566A4" w:rsidRPr="008566A4" w:rsidRDefault="008566A4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Odpoveď č. 4 </w:t>
      </w:r>
    </w:p>
    <w:p w:rsidR="008566A4" w:rsidRPr="008566A4" w:rsidRDefault="008566A4" w:rsidP="008566A4">
      <w:pPr>
        <w:spacing w:after="160"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Záujemca sa v tejto otázke dopytuje od </w:t>
      </w:r>
      <w:r w:rsidR="009620AE">
        <w:rPr>
          <w:rFonts w:ascii="Times New Roman" w:eastAsia="Times New Roman" w:hAnsi="Times New Roman"/>
          <w:sz w:val="24"/>
          <w:szCs w:val="24"/>
          <w:lang w:eastAsia="sk-SK"/>
        </w:rPr>
        <w:t>verejného obstarávateľa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riešenie a informá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ciu, ktorou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verejný obstarávateľ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dnes nedispo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nuje. Preto nevieme predpokladať, ci v čase projektu bude uvedené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rie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šenie v prevá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dzke.</w:t>
      </w:r>
    </w:p>
    <w:p w:rsidR="008566A4" w:rsidRPr="008566A4" w:rsidRDefault="008566A4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1484E" w:rsidRPr="008566A4" w:rsidRDefault="0001484E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Otázka č. 5.</w:t>
      </w:r>
    </w:p>
    <w:p w:rsidR="0001484E" w:rsidRPr="008566A4" w:rsidRDefault="0001484E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Ak v zmysle otázky č. 4 nebude takéto riešenie existovať, je toto riešenie požadované ako súčasť predmetu tohto verejného obstarávania? </w:t>
      </w:r>
    </w:p>
    <w:p w:rsidR="008566A4" w:rsidRPr="008566A4" w:rsidRDefault="008566A4" w:rsidP="008566A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Odpoveď č. 5</w:t>
      </w:r>
    </w:p>
    <w:p w:rsidR="008566A4" w:rsidRPr="008566A4" w:rsidRDefault="008566A4" w:rsidP="008566A4">
      <w:pPr>
        <w:spacing w:after="160"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Prosí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me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záujemcu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aby bli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žšie špecifikoval, s ktorým procesným krokom alebo časťou riešenia uvedená 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ot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ázka súvisí a</w:t>
      </w:r>
      <w:r w:rsidR="009620AE">
        <w:rPr>
          <w:rFonts w:ascii="Times New Roman" w:eastAsia="Times New Roman" w:hAnsi="Times New Roman"/>
          <w:sz w:val="24"/>
          <w:szCs w:val="24"/>
          <w:lang w:eastAsia="sk-SK"/>
        </w:rPr>
        <w:t> v čom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 xml:space="preserve"> má problém navrhnúť rieš</w:t>
      </w:r>
      <w:r w:rsidRPr="008566A4">
        <w:rPr>
          <w:rFonts w:ascii="Times New Roman" w:eastAsia="Times New Roman" w:hAnsi="Times New Roman"/>
          <w:sz w:val="24"/>
          <w:szCs w:val="24"/>
          <w:lang w:eastAsia="sk-SK"/>
        </w:rPr>
        <w:t>enie?</w:t>
      </w:r>
    </w:p>
    <w:p w:rsidR="008566A4" w:rsidRPr="008566A4" w:rsidRDefault="008566A4" w:rsidP="008566A4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8566A4" w:rsidRPr="008566A4" w:rsidRDefault="008566A4" w:rsidP="008566A4">
      <w:pPr>
        <w:spacing w:after="160"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E114D" w:rsidRPr="008566A4" w:rsidRDefault="00FE114D" w:rsidP="00E67FA2">
      <w:pPr>
        <w:rPr>
          <w:rStyle w:val="Siln"/>
          <w:rFonts w:ascii="Times New Roman" w:hAnsi="Times New Roman"/>
          <w:sz w:val="24"/>
          <w:szCs w:val="24"/>
        </w:rPr>
      </w:pPr>
    </w:p>
    <w:sectPr w:rsidR="00FE114D" w:rsidRPr="008566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73" w:rsidRDefault="00515873" w:rsidP="00890EC8">
      <w:pPr>
        <w:spacing w:after="0" w:line="240" w:lineRule="auto"/>
      </w:pPr>
      <w:r>
        <w:separator/>
      </w:r>
    </w:p>
  </w:endnote>
  <w:endnote w:type="continuationSeparator" w:id="0">
    <w:p w:rsidR="00515873" w:rsidRDefault="00515873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73" w:rsidRDefault="00515873" w:rsidP="00890EC8">
      <w:pPr>
        <w:spacing w:after="0" w:line="240" w:lineRule="auto"/>
      </w:pPr>
      <w:r>
        <w:separator/>
      </w:r>
    </w:p>
  </w:footnote>
  <w:footnote w:type="continuationSeparator" w:id="0">
    <w:p w:rsidR="00515873" w:rsidRDefault="00515873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>
      <w:rPr>
        <w:sz w:val="28"/>
        <w:szCs w:val="28"/>
      </w:rPr>
      <w:t>Lazaretská</w:t>
    </w:r>
    <w:proofErr w:type="spellEnd"/>
    <w:r>
      <w:rPr>
        <w:sz w:val="28"/>
        <w:szCs w:val="28"/>
      </w:rPr>
      <w:t xml:space="preserve">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3BF7"/>
    <w:multiLevelType w:val="hybridMultilevel"/>
    <w:tmpl w:val="644C2B6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9B75CA"/>
    <w:multiLevelType w:val="hybridMultilevel"/>
    <w:tmpl w:val="28F6BDE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9F5D8D"/>
    <w:multiLevelType w:val="hybridMultilevel"/>
    <w:tmpl w:val="781C533C"/>
    <w:lvl w:ilvl="0" w:tplc="016249A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CA2137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B46DAD"/>
    <w:multiLevelType w:val="hybridMultilevel"/>
    <w:tmpl w:val="CF021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C5289"/>
    <w:multiLevelType w:val="hybridMultilevel"/>
    <w:tmpl w:val="2C1E02C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A803C1"/>
    <w:multiLevelType w:val="hybridMultilevel"/>
    <w:tmpl w:val="79C6399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9F0"/>
    <w:multiLevelType w:val="hybridMultilevel"/>
    <w:tmpl w:val="6A9C5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B0B44"/>
    <w:multiLevelType w:val="hybridMultilevel"/>
    <w:tmpl w:val="08108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65B10"/>
    <w:multiLevelType w:val="hybridMultilevel"/>
    <w:tmpl w:val="9A52A96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2013C7"/>
    <w:multiLevelType w:val="hybridMultilevel"/>
    <w:tmpl w:val="FDF8BE8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7559C5"/>
    <w:multiLevelType w:val="hybridMultilevel"/>
    <w:tmpl w:val="4052F5B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6764C"/>
    <w:multiLevelType w:val="hybridMultilevel"/>
    <w:tmpl w:val="0808948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7D3590"/>
    <w:multiLevelType w:val="hybridMultilevel"/>
    <w:tmpl w:val="143C83A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1484E"/>
    <w:rsid w:val="00027CFB"/>
    <w:rsid w:val="00051E6E"/>
    <w:rsid w:val="00053183"/>
    <w:rsid w:val="00085303"/>
    <w:rsid w:val="00095E7E"/>
    <w:rsid w:val="000C030E"/>
    <w:rsid w:val="000C24A2"/>
    <w:rsid w:val="000D443E"/>
    <w:rsid w:val="000E17F9"/>
    <w:rsid w:val="000E4DFB"/>
    <w:rsid w:val="000F64DB"/>
    <w:rsid w:val="001076FB"/>
    <w:rsid w:val="001156F8"/>
    <w:rsid w:val="00121383"/>
    <w:rsid w:val="00131BF6"/>
    <w:rsid w:val="00132BE7"/>
    <w:rsid w:val="00136C7C"/>
    <w:rsid w:val="00141190"/>
    <w:rsid w:val="00147018"/>
    <w:rsid w:val="00183B9E"/>
    <w:rsid w:val="001B44E0"/>
    <w:rsid w:val="001D07A9"/>
    <w:rsid w:val="00201D68"/>
    <w:rsid w:val="00210BC7"/>
    <w:rsid w:val="00222CAA"/>
    <w:rsid w:val="00226AE0"/>
    <w:rsid w:val="00231558"/>
    <w:rsid w:val="00240231"/>
    <w:rsid w:val="00272080"/>
    <w:rsid w:val="00280534"/>
    <w:rsid w:val="0029047C"/>
    <w:rsid w:val="002D00D2"/>
    <w:rsid w:val="002D2147"/>
    <w:rsid w:val="002E34D4"/>
    <w:rsid w:val="002F134F"/>
    <w:rsid w:val="002F39C4"/>
    <w:rsid w:val="00307279"/>
    <w:rsid w:val="003106F9"/>
    <w:rsid w:val="00335A7E"/>
    <w:rsid w:val="003429C6"/>
    <w:rsid w:val="003568A2"/>
    <w:rsid w:val="00373EC8"/>
    <w:rsid w:val="00393BF3"/>
    <w:rsid w:val="003B09C5"/>
    <w:rsid w:val="003C2C37"/>
    <w:rsid w:val="003C7410"/>
    <w:rsid w:val="00412BC9"/>
    <w:rsid w:val="004827AB"/>
    <w:rsid w:val="00496CDB"/>
    <w:rsid w:val="004B798B"/>
    <w:rsid w:val="004D1969"/>
    <w:rsid w:val="004F58D2"/>
    <w:rsid w:val="004F7F53"/>
    <w:rsid w:val="00515873"/>
    <w:rsid w:val="00524C58"/>
    <w:rsid w:val="00541C11"/>
    <w:rsid w:val="00552F87"/>
    <w:rsid w:val="005530AF"/>
    <w:rsid w:val="005719BF"/>
    <w:rsid w:val="00585511"/>
    <w:rsid w:val="00586D7E"/>
    <w:rsid w:val="005B036A"/>
    <w:rsid w:val="00601F99"/>
    <w:rsid w:val="00604197"/>
    <w:rsid w:val="006406B6"/>
    <w:rsid w:val="006547A8"/>
    <w:rsid w:val="00655D5D"/>
    <w:rsid w:val="006A2A5D"/>
    <w:rsid w:val="006C3F8E"/>
    <w:rsid w:val="006E5083"/>
    <w:rsid w:val="007004B2"/>
    <w:rsid w:val="0072152B"/>
    <w:rsid w:val="00721AAA"/>
    <w:rsid w:val="007251DA"/>
    <w:rsid w:val="00726E7B"/>
    <w:rsid w:val="00756C4D"/>
    <w:rsid w:val="007877FD"/>
    <w:rsid w:val="007A0BFB"/>
    <w:rsid w:val="007A6D9B"/>
    <w:rsid w:val="007C56ED"/>
    <w:rsid w:val="007F3847"/>
    <w:rsid w:val="008035C2"/>
    <w:rsid w:val="0080796E"/>
    <w:rsid w:val="00815669"/>
    <w:rsid w:val="008205D0"/>
    <w:rsid w:val="00830A75"/>
    <w:rsid w:val="0084181F"/>
    <w:rsid w:val="00853E92"/>
    <w:rsid w:val="00854C77"/>
    <w:rsid w:val="008566A4"/>
    <w:rsid w:val="00873D5E"/>
    <w:rsid w:val="00881F52"/>
    <w:rsid w:val="00890EC8"/>
    <w:rsid w:val="00891006"/>
    <w:rsid w:val="00891148"/>
    <w:rsid w:val="008A6C23"/>
    <w:rsid w:val="008D3E66"/>
    <w:rsid w:val="008D66ED"/>
    <w:rsid w:val="008F5F15"/>
    <w:rsid w:val="0092292A"/>
    <w:rsid w:val="00926BD0"/>
    <w:rsid w:val="00933DAC"/>
    <w:rsid w:val="00940907"/>
    <w:rsid w:val="00953561"/>
    <w:rsid w:val="009620AE"/>
    <w:rsid w:val="00963238"/>
    <w:rsid w:val="00986B95"/>
    <w:rsid w:val="00992051"/>
    <w:rsid w:val="00994A17"/>
    <w:rsid w:val="009C4ADC"/>
    <w:rsid w:val="00A30D05"/>
    <w:rsid w:val="00A33D81"/>
    <w:rsid w:val="00A52D20"/>
    <w:rsid w:val="00A8552E"/>
    <w:rsid w:val="00A959B4"/>
    <w:rsid w:val="00AD233F"/>
    <w:rsid w:val="00AD2775"/>
    <w:rsid w:val="00AF07FC"/>
    <w:rsid w:val="00B04079"/>
    <w:rsid w:val="00B22F32"/>
    <w:rsid w:val="00B348A1"/>
    <w:rsid w:val="00B351BF"/>
    <w:rsid w:val="00B84F16"/>
    <w:rsid w:val="00B85B09"/>
    <w:rsid w:val="00B86B31"/>
    <w:rsid w:val="00BA1A2B"/>
    <w:rsid w:val="00BC3B75"/>
    <w:rsid w:val="00BC4FA2"/>
    <w:rsid w:val="00BD2A0A"/>
    <w:rsid w:val="00BD3091"/>
    <w:rsid w:val="00C05217"/>
    <w:rsid w:val="00C170BE"/>
    <w:rsid w:val="00C3794B"/>
    <w:rsid w:val="00C469FC"/>
    <w:rsid w:val="00C47480"/>
    <w:rsid w:val="00C835C1"/>
    <w:rsid w:val="00C93A26"/>
    <w:rsid w:val="00C97655"/>
    <w:rsid w:val="00CB7B9A"/>
    <w:rsid w:val="00CD6ABB"/>
    <w:rsid w:val="00CE24EE"/>
    <w:rsid w:val="00CF54DB"/>
    <w:rsid w:val="00D257D4"/>
    <w:rsid w:val="00D26217"/>
    <w:rsid w:val="00D3232B"/>
    <w:rsid w:val="00D53E13"/>
    <w:rsid w:val="00DA62DD"/>
    <w:rsid w:val="00DA702E"/>
    <w:rsid w:val="00DB5C8C"/>
    <w:rsid w:val="00DF1320"/>
    <w:rsid w:val="00E0067E"/>
    <w:rsid w:val="00E05697"/>
    <w:rsid w:val="00E47F76"/>
    <w:rsid w:val="00E62D89"/>
    <w:rsid w:val="00E67FA2"/>
    <w:rsid w:val="00E742AE"/>
    <w:rsid w:val="00E805FA"/>
    <w:rsid w:val="00EA020C"/>
    <w:rsid w:val="00EB78B9"/>
    <w:rsid w:val="00EC1E06"/>
    <w:rsid w:val="00EE184C"/>
    <w:rsid w:val="00EF49C4"/>
    <w:rsid w:val="00F138F3"/>
    <w:rsid w:val="00F360C9"/>
    <w:rsid w:val="00F54938"/>
    <w:rsid w:val="00F56AE5"/>
    <w:rsid w:val="00F861D6"/>
    <w:rsid w:val="00F9172E"/>
    <w:rsid w:val="00F94DB4"/>
    <w:rsid w:val="00FA6103"/>
    <w:rsid w:val="00FA6B58"/>
    <w:rsid w:val="00FD0ECA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styleId="Siln">
    <w:name w:val="Strong"/>
    <w:basedOn w:val="Predvolenpsmoodseku"/>
    <w:uiPriority w:val="22"/>
    <w:qFormat/>
    <w:rsid w:val="00E67FA2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"/>
    <w:link w:val="Odsekzoznamu"/>
    <w:uiPriority w:val="34"/>
    <w:qFormat/>
    <w:locked/>
    <w:rsid w:val="00E6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3484-A948-4564-A341-067EEE79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2</cp:revision>
  <cp:lastPrinted>2020-02-25T08:21:00Z</cp:lastPrinted>
  <dcterms:created xsi:type="dcterms:W3CDTF">2020-03-05T10:39:00Z</dcterms:created>
  <dcterms:modified xsi:type="dcterms:W3CDTF">2020-03-05T10:39:00Z</dcterms:modified>
</cp:coreProperties>
</file>