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  <w:bookmarkStart w:id="0" w:name="_GoBack"/>
      <w:bookmarkEnd w:id="0"/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F6597C" w:rsidRPr="00BF09F2">
        <w:rPr>
          <w:rFonts w:cstheme="minorHAnsi"/>
          <w:b/>
        </w:rPr>
        <w:t>Nákup potravín pre NsP v Bojniciach</w:t>
      </w:r>
      <w:r w:rsidR="00CA1A38" w:rsidRPr="005B64EF">
        <w:rPr>
          <w:rFonts w:cstheme="minorHAnsi"/>
        </w:rPr>
        <w:t xml:space="preserve">“, pre </w:t>
      </w:r>
      <w:r w:rsidR="002742A3">
        <w:rPr>
          <w:rFonts w:cstheme="minorHAnsi"/>
          <w:b/>
        </w:rPr>
        <w:t>Č</w:t>
      </w:r>
      <w:r w:rsidR="00CA1A38" w:rsidRPr="00F6597C">
        <w:rPr>
          <w:rFonts w:cstheme="minorHAnsi"/>
          <w:b/>
        </w:rPr>
        <w:t xml:space="preserve">asť </w:t>
      </w:r>
      <w:r w:rsidR="00887F57">
        <w:rPr>
          <w:rFonts w:cstheme="minorHAnsi"/>
          <w:b/>
        </w:rPr>
        <w:t>6</w:t>
      </w:r>
      <w:r w:rsidR="002742A3">
        <w:rPr>
          <w:rFonts w:cstheme="minorHAnsi"/>
          <w:b/>
        </w:rPr>
        <w:t xml:space="preserve">. </w:t>
      </w:r>
      <w:r w:rsidR="00F6597C" w:rsidRPr="00F6597C">
        <w:rPr>
          <w:rFonts w:cstheme="minorHAnsi"/>
          <w:b/>
        </w:rPr>
        <w:t xml:space="preserve"> </w:t>
      </w:r>
      <w:r w:rsidR="00887F57" w:rsidRPr="00887F57">
        <w:rPr>
          <w:rFonts w:ascii="Calibri" w:eastAsia="Times New Roman" w:hAnsi="Calibri" w:cs="Calibri"/>
          <w:b/>
          <w:color w:val="222222"/>
          <w:sz w:val="20"/>
          <w:szCs w:val="20"/>
          <w:shd w:val="clear" w:color="auto" w:fill="FFFFFF"/>
          <w:lang w:eastAsia="sk-SK"/>
        </w:rPr>
        <w:t>Mrazené mäso a mrazené výrobky</w:t>
      </w:r>
      <w:r w:rsidR="00887F57" w:rsidRPr="009C0801">
        <w:rPr>
          <w:rFonts w:ascii="Calibri" w:eastAsia="Times New Roman" w:hAnsi="Calibri" w:cs="Calibri"/>
          <w:b/>
          <w:bCs/>
          <w:color w:val="222222"/>
          <w:sz w:val="20"/>
          <w:szCs w:val="20"/>
          <w:shd w:val="clear" w:color="auto" w:fill="FFFFFF"/>
          <w:lang w:eastAsia="sk-SK"/>
        </w:rPr>
        <w:t> </w:t>
      </w:r>
      <w:r w:rsidR="00887F57" w:rsidRPr="002742A3">
        <w:rPr>
          <w:rFonts w:cstheme="minorHAnsi"/>
          <w:highlight w:val="yellow"/>
        </w:rPr>
        <w:t xml:space="preserve"> </w:t>
      </w:r>
      <w:r w:rsidR="00CA1A38" w:rsidRPr="002742A3">
        <w:rPr>
          <w:rFonts w:cstheme="minorHAnsi"/>
          <w:highlight w:val="yellow"/>
        </w:rPr>
        <w:t>(ďalej</w:t>
      </w:r>
      <w:r w:rsidR="00CA1A38" w:rsidRPr="005B64EF">
        <w:rPr>
          <w:rFonts w:cstheme="minorHAnsi"/>
        </w:rPr>
        <w:t xml:space="preserve">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887F57">
        <w:rPr>
          <w:rFonts w:cstheme="minorHAnsi"/>
          <w:highlight w:val="yellow"/>
        </w:rPr>
        <w:t>12</w:t>
      </w:r>
      <w:r w:rsidR="00946A34" w:rsidRPr="00887F57">
        <w:rPr>
          <w:rFonts w:cstheme="minorHAnsi"/>
          <w:highlight w:val="yellow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887F57" w:rsidRPr="00887F57">
        <w:rPr>
          <w:rFonts w:ascii="Calibri" w:eastAsia="Times New Roman" w:hAnsi="Calibri" w:cs="Calibri"/>
          <w:bCs/>
          <w:color w:val="222222"/>
          <w:highlight w:val="yellow"/>
          <w:shd w:val="clear" w:color="auto" w:fill="FFFFFF"/>
          <w:lang w:eastAsia="sk-SK"/>
        </w:rPr>
        <w:t>tri krát týždenne (podľa dohody so zástupcom  objednávateľa)</w:t>
      </w:r>
      <w:r w:rsidR="00466724" w:rsidRPr="00887F57">
        <w:rPr>
          <w:rFonts w:cstheme="minorHAnsi"/>
          <w:highlight w:val="yellow"/>
        </w:rPr>
        <w:t xml:space="preserve"> </w:t>
      </w:r>
      <w:r w:rsidR="00851EF2" w:rsidRPr="00887F57">
        <w:rPr>
          <w:rFonts w:cstheme="minorHAnsi"/>
          <w:highlight w:val="yellow"/>
        </w:rPr>
        <w:t>kupujúcim</w:t>
      </w:r>
      <w:r w:rsidR="00851EF2" w:rsidRPr="00F6597C">
        <w:rPr>
          <w:rFonts w:cstheme="minorHAnsi"/>
          <w:highlight w:val="yellow"/>
        </w:rPr>
        <w:t xml:space="preserve"> </w:t>
      </w:r>
      <w:r w:rsidR="00466724" w:rsidRPr="00F6597C">
        <w:rPr>
          <w:rFonts w:cstheme="minorHAnsi"/>
          <w:highlight w:val="yellow"/>
        </w:rPr>
        <w:t>predávajúc</w:t>
      </w:r>
      <w:r w:rsidR="00851EF2" w:rsidRPr="00F6597C">
        <w:rPr>
          <w:rFonts w:cstheme="minorHAnsi"/>
          <w:highlight w:val="yellow"/>
        </w:rPr>
        <w:t>e</w:t>
      </w:r>
      <w:r w:rsidR="00466724" w:rsidRPr="00F6597C">
        <w:rPr>
          <w:rFonts w:cstheme="minorHAnsi"/>
          <w:highlight w:val="yellow"/>
        </w:rPr>
        <w:t>m</w:t>
      </w:r>
      <w:r w:rsidR="00851EF2" w:rsidRPr="00F6597C">
        <w:rPr>
          <w:rFonts w:cstheme="minorHAnsi"/>
          <w:highlight w:val="yellow"/>
        </w:rPr>
        <w:t>u</w:t>
      </w:r>
      <w:r w:rsidR="001C1B8B">
        <w:rPr>
          <w:rFonts w:cstheme="minorHAnsi"/>
          <w:highlight w:val="yellow"/>
        </w:rPr>
        <w:t>, pričom t</w:t>
      </w:r>
      <w:r w:rsidR="002D503A" w:rsidRPr="00F6597C">
        <w:rPr>
          <w:rFonts w:cstheme="minorHAnsi"/>
          <w:highlight w:val="yellow"/>
        </w:rPr>
        <w:t>ovar musí byť dodaný</w:t>
      </w:r>
      <w:r w:rsidR="00D17B8E">
        <w:rPr>
          <w:rFonts w:cstheme="minorHAnsi"/>
          <w:highlight w:val="yellow"/>
        </w:rPr>
        <w:t xml:space="preserve"> výlučne </w:t>
      </w:r>
      <w:r w:rsidR="00857FAE" w:rsidRPr="00F6597C">
        <w:rPr>
          <w:rFonts w:cstheme="minorHAnsi"/>
          <w:highlight w:val="yellow"/>
        </w:rPr>
        <w:t xml:space="preserve"> v čase od </w:t>
      </w:r>
      <w:r w:rsidR="00887F57">
        <w:rPr>
          <w:rFonts w:cstheme="minorHAnsi"/>
          <w:highlight w:val="yellow"/>
        </w:rPr>
        <w:t>6</w:t>
      </w:r>
      <w:r w:rsidR="00857FAE" w:rsidRPr="00F6597C">
        <w:rPr>
          <w:rFonts w:cstheme="minorHAnsi"/>
          <w:highlight w:val="yellow"/>
        </w:rPr>
        <w:t xml:space="preserve">:00 do </w:t>
      </w:r>
      <w:r w:rsidR="00887F57">
        <w:rPr>
          <w:rFonts w:cstheme="minorHAnsi"/>
          <w:highlight w:val="yellow"/>
        </w:rPr>
        <w:t>9</w:t>
      </w:r>
      <w:r w:rsidR="00F6597C" w:rsidRPr="00F6597C">
        <w:rPr>
          <w:rFonts w:cstheme="minorHAnsi"/>
          <w:highlight w:val="yellow"/>
        </w:rPr>
        <w:t>:</w:t>
      </w:r>
      <w:r w:rsidR="00857FAE" w:rsidRPr="00F6597C">
        <w:rPr>
          <w:rFonts w:cstheme="minorHAnsi"/>
          <w:highlight w:val="yellow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</w:t>
      </w:r>
      <w:r w:rsidR="00A32F86" w:rsidRPr="005B64EF">
        <w:rPr>
          <w:rFonts w:cstheme="minorHAnsi"/>
        </w:rPr>
        <w:lastRenderedPageBreak/>
        <w:t>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EF" w:rsidRDefault="00FE0CEF" w:rsidP="00CA3F33">
      <w:pPr>
        <w:spacing w:after="0" w:line="240" w:lineRule="auto"/>
      </w:pPr>
      <w:r>
        <w:separator/>
      </w:r>
    </w:p>
  </w:endnote>
  <w:end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F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EF" w:rsidRDefault="00FE0CEF" w:rsidP="00CA3F33">
      <w:pPr>
        <w:spacing w:after="0" w:line="240" w:lineRule="auto"/>
      </w:pPr>
      <w:r>
        <w:separator/>
      </w:r>
    </w:p>
  </w:footnote>
  <w:foot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EAC4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DAB1-9304-4760-9383-1A103018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4391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5</cp:revision>
  <cp:lastPrinted>2019-09-10T12:28:00Z</cp:lastPrinted>
  <dcterms:created xsi:type="dcterms:W3CDTF">2020-01-25T15:07:00Z</dcterms:created>
  <dcterms:modified xsi:type="dcterms:W3CDTF">2020-01-27T07:22:00Z</dcterms:modified>
</cp:coreProperties>
</file>