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662231" w:rsidRDefault="00662231" w:rsidP="008C1E6E">
      <w:pPr>
        <w:jc w:val="both"/>
        <w:rPr>
          <w:rFonts w:ascii="Arial Narrow" w:hAnsi="Arial Narrow"/>
          <w:sz w:val="22"/>
          <w:szCs w:val="22"/>
        </w:rPr>
      </w:pPr>
      <w:r w:rsidRPr="00662231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9C36A9">
        <w:rPr>
          <w:rFonts w:ascii="Arial Narrow" w:hAnsi="Arial Narrow"/>
          <w:b/>
          <w:sz w:val="22"/>
          <w:szCs w:val="22"/>
          <w:u w:val="single"/>
        </w:rPr>
        <w:t>3</w:t>
      </w:r>
      <w:r w:rsidRPr="00662231">
        <w:rPr>
          <w:rFonts w:ascii="Arial Narrow" w:hAnsi="Arial Narrow"/>
          <w:b/>
          <w:sz w:val="22"/>
          <w:szCs w:val="22"/>
          <w:u w:val="single"/>
        </w:rPr>
        <w:t xml:space="preserve"> – </w:t>
      </w:r>
      <w:r w:rsidR="009C36A9">
        <w:rPr>
          <w:rFonts w:ascii="Arial Narrow" w:hAnsi="Arial Narrow"/>
          <w:b/>
          <w:sz w:val="22"/>
          <w:szCs w:val="22"/>
          <w:u w:val="single"/>
        </w:rPr>
        <w:t>Ochranné magnetické prikr</w:t>
      </w:r>
      <w:r w:rsidR="00A608BC">
        <w:rPr>
          <w:rFonts w:ascii="Arial Narrow" w:hAnsi="Arial Narrow"/>
          <w:b/>
          <w:sz w:val="22"/>
          <w:szCs w:val="22"/>
          <w:u w:val="single"/>
        </w:rPr>
        <w:t>ý</w:t>
      </w:r>
      <w:bookmarkStart w:id="0" w:name="_GoBack"/>
      <w:bookmarkEnd w:id="0"/>
      <w:r w:rsidR="009C36A9">
        <w:rPr>
          <w:rFonts w:ascii="Arial Narrow" w:hAnsi="Arial Narrow"/>
          <w:b/>
          <w:sz w:val="22"/>
          <w:szCs w:val="22"/>
          <w:u w:val="single"/>
        </w:rPr>
        <w:t>vky</w:t>
      </w:r>
    </w:p>
    <w:p w:rsidR="00F45A0B" w:rsidRPr="009355C3" w:rsidRDefault="00F45A0B" w:rsidP="00F45A0B">
      <w:pPr>
        <w:tabs>
          <w:tab w:val="clear" w:pos="2160"/>
          <w:tab w:val="clear" w:pos="2880"/>
          <w:tab w:val="clear" w:pos="4500"/>
        </w:tabs>
        <w:spacing w:before="240" w:after="240" w:line="276" w:lineRule="auto"/>
        <w:jc w:val="both"/>
        <w:rPr>
          <w:rFonts w:ascii="Arial Narrow" w:hAnsi="Arial Narrow"/>
          <w:bCs/>
          <w:lang w:eastAsia="sk-SK"/>
        </w:rPr>
      </w:pPr>
      <w:r>
        <w:rPr>
          <w:rFonts w:ascii="Arial Narrow" w:hAnsi="Arial Narrow"/>
          <w:lang w:eastAsia="sk-SK"/>
        </w:rPr>
        <w:t>10</w:t>
      </w:r>
      <w:r w:rsidRPr="009355C3">
        <w:rPr>
          <w:rFonts w:ascii="Arial Narrow" w:hAnsi="Arial Narrow"/>
          <w:lang w:eastAsia="sk-SK"/>
        </w:rPr>
        <w:t xml:space="preserve"> dielna súprava ochranných magnetických prikrývok je určená na prekrytie ostrých hrán a úlomkov skla, slúži ako ochrana pred poranením pri dopravných nehodách počas zásahu príslušníkov HaZZ a </w:t>
      </w:r>
      <w:proofErr w:type="spellStart"/>
      <w:r w:rsidRPr="009355C3">
        <w:rPr>
          <w:rFonts w:ascii="Arial Narrow" w:hAnsi="Arial Narrow"/>
          <w:lang w:eastAsia="sk-SK"/>
        </w:rPr>
        <w:t>vypro</w:t>
      </w:r>
      <w:r>
        <w:rPr>
          <w:rFonts w:ascii="Arial Narrow" w:hAnsi="Arial Narrow"/>
          <w:lang w:eastAsia="sk-SK"/>
        </w:rPr>
        <w:t>s</w:t>
      </w:r>
      <w:r w:rsidR="000D059F">
        <w:rPr>
          <w:rFonts w:ascii="Arial Narrow" w:hAnsi="Arial Narrow"/>
          <w:lang w:eastAsia="sk-SK"/>
        </w:rPr>
        <w:t>t</w:t>
      </w:r>
      <w:r w:rsidRPr="009355C3">
        <w:rPr>
          <w:rFonts w:ascii="Arial Narrow" w:hAnsi="Arial Narrow"/>
          <w:lang w:eastAsia="sk-SK"/>
        </w:rPr>
        <w:t>ovaní</w:t>
      </w:r>
      <w:proofErr w:type="spellEnd"/>
      <w:r w:rsidRPr="009355C3">
        <w:rPr>
          <w:rFonts w:ascii="Arial Narrow" w:hAnsi="Arial Narrow"/>
          <w:lang w:eastAsia="sk-SK"/>
        </w:rPr>
        <w:t xml:space="preserve"> zranených.</w:t>
      </w: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EB4DB8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RPr="00EB4DB8" w:rsidTr="007C13E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6E6" w:rsidRPr="00CE7641" w:rsidRDefault="009C36A9" w:rsidP="009C36A9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Ochranná magnetická prikrývka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54A2" w:rsidP="0000074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Súprava ochranných prikrývok musí obsahovať minimálne 10 prikrývok uložených v praktickom prenosnom vaku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54A2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Prikrývky musia byť vyrobené z pevného materiálu (tkaniny), odolného voči oderom, napríklad z nylonu alebo ekvivalent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54A2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Každá prikrývka musí byť vybavená reflexným pásikom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54A2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Každá prikrývka musí byť vybavená dostatočným počtom magnetov na pevné uchytenie o karosériu automobilu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454A2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Magnety musia byť dostatočne silné aby sa prikrývka udržala na karosérii automobilu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4A2" w:rsidRPr="009355C3" w:rsidRDefault="007454A2" w:rsidP="007454A2">
            <w:pPr>
              <w:tabs>
                <w:tab w:val="clear" w:pos="2160"/>
                <w:tab w:val="left" w:pos="884"/>
              </w:tabs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Súprava prikrývok musí obsahovať:</w:t>
            </w:r>
          </w:p>
          <w:p w:rsidR="007454A2" w:rsidRPr="009355C3" w:rsidRDefault="007454A2" w:rsidP="007454A2">
            <w:pPr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left" w:pos="884"/>
                <w:tab w:val="left" w:pos="1171"/>
              </w:tabs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2 ks ochranná prikrývka s minimálnymi rozmermi 140 x 35 cm na prekrytie predného a zadného okna automobilu,</w:t>
            </w:r>
          </w:p>
          <w:p w:rsidR="007454A2" w:rsidRPr="009355C3" w:rsidRDefault="007454A2" w:rsidP="007454A2">
            <w:pPr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left" w:pos="884"/>
                <w:tab w:val="left" w:pos="1171"/>
              </w:tabs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4 ks ochranná prikrývka s minimálnymi rozmermi 55 x 35 cm na prekrytie bočných okien automobilu,</w:t>
            </w:r>
          </w:p>
          <w:p w:rsidR="007454A2" w:rsidRPr="009355C3" w:rsidRDefault="007454A2" w:rsidP="007454A2">
            <w:pPr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left" w:pos="884"/>
                <w:tab w:val="left" w:pos="1171"/>
              </w:tabs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4 ks ochranná prikrývka s minimálnymi rozmermi 35 x 35 cm na prekrytie ostrých hrán,</w:t>
            </w:r>
          </w:p>
          <w:p w:rsidR="00762125" w:rsidRPr="00EB4DB8" w:rsidRDefault="00762125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7C13E7" w:rsidRDefault="007454A2" w:rsidP="007C13E7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9355C3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Súprava ochranných prikrývok musí byť uložená v praktickom prepravnom vaku s úchytmi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C13E7" w:rsidRPr="00CE7641" w:rsidRDefault="002F5B1F" w:rsidP="00CE76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80" w:after="240"/>
        <w:jc w:val="both"/>
        <w:rPr>
          <w:rStyle w:val="Siln"/>
          <w:rFonts w:ascii="Arial Narrow" w:eastAsia="Calibri" w:hAnsi="Arial Narrow" w:cs="Arial"/>
          <w:bCs w:val="0"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Ďalšie požiadavky</w:t>
      </w:r>
    </w:p>
    <w:p w:rsidR="007C13E7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  <w:r>
        <w:rPr>
          <w:rStyle w:val="Siln"/>
          <w:rFonts w:ascii="Arial Narrow" w:hAnsi="Arial Narrow"/>
          <w:b w:val="0"/>
          <w:shd w:val="clear" w:color="auto" w:fill="FFFFFF"/>
        </w:rPr>
        <w:t xml:space="preserve">- </w:t>
      </w:r>
      <w:r w:rsidRPr="005D2D3F">
        <w:rPr>
          <w:rStyle w:val="Siln"/>
          <w:rFonts w:ascii="Arial Narrow" w:hAnsi="Arial Narrow"/>
          <w:b w:val="0"/>
          <w:shd w:val="clear" w:color="auto" w:fill="FFFFFF"/>
        </w:rPr>
        <w:t>záruka minimálne 2 roky.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</w:p>
    <w:p w:rsidR="002F5B1F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Iné požiadavky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17"/>
        <w:rPr>
          <w:rFonts w:ascii="Arial Narrow" w:hAnsi="Arial Narrow"/>
          <w:bCs/>
          <w:shd w:val="clear" w:color="auto" w:fill="FFFFFF"/>
        </w:rPr>
      </w:pPr>
      <w:r w:rsidRPr="005D2D3F">
        <w:rPr>
          <w:rStyle w:val="Siln"/>
          <w:rFonts w:ascii="Arial Narrow" w:hAnsi="Arial Narrow"/>
          <w:b w:val="0"/>
          <w:shd w:val="clear" w:color="auto" w:fill="FFFFFF"/>
        </w:rPr>
        <w:lastRenderedPageBreak/>
        <w:t>Pri predkladaní ponuky je uchádzač povinný predložiť:</w:t>
      </w:r>
    </w:p>
    <w:p w:rsidR="007C13E7" w:rsidRPr="005D2D3F" w:rsidRDefault="007C13E7" w:rsidP="0035089F">
      <w:pPr>
        <w:tabs>
          <w:tab w:val="clear" w:pos="2160"/>
          <w:tab w:val="clear" w:pos="2880"/>
          <w:tab w:val="left" w:pos="884"/>
        </w:tabs>
        <w:ind w:left="284"/>
        <w:rPr>
          <w:rFonts w:ascii="Arial Narrow" w:hAnsi="Arial Narrow"/>
          <w:bCs/>
          <w:shd w:val="clear" w:color="auto" w:fill="FFFFFF"/>
        </w:rPr>
      </w:pPr>
      <w:r w:rsidRPr="005D2D3F">
        <w:rPr>
          <w:rFonts w:ascii="Arial Narrow" w:hAnsi="Arial Narrow"/>
          <w:lang w:eastAsia="sk-SK"/>
        </w:rPr>
        <w:t xml:space="preserve">technický (produktový) list výrobku / katalógový list / resp. iné informačné materiály (napr. fotografie) </w:t>
      </w:r>
      <w:r w:rsidRPr="005D2D3F">
        <w:rPr>
          <w:rFonts w:ascii="Arial Narrow" w:hAnsi="Arial Narrow"/>
          <w:lang w:eastAsia="sk-SK"/>
        </w:rPr>
        <w:br/>
        <w:t>k ponúkanému predmetu zákazky preukazujúce splnenie požiadaviek</w:t>
      </w:r>
      <w:r w:rsidR="0035089F">
        <w:rPr>
          <w:rFonts w:ascii="Arial Narrow" w:hAnsi="Arial Narrow"/>
          <w:lang w:eastAsia="sk-SK"/>
        </w:rPr>
        <w:t>.</w:t>
      </w:r>
    </w:p>
    <w:p w:rsidR="007C13E7" w:rsidRPr="005D2D3F" w:rsidRDefault="007C13E7" w:rsidP="007C13E7">
      <w:pPr>
        <w:tabs>
          <w:tab w:val="clear" w:pos="2160"/>
          <w:tab w:val="clear" w:pos="2880"/>
          <w:tab w:val="left" w:pos="884"/>
        </w:tabs>
        <w:rPr>
          <w:rStyle w:val="Siln"/>
          <w:rFonts w:ascii="Arial Narrow" w:hAnsi="Arial Narrow"/>
          <w:b w:val="0"/>
          <w:shd w:val="clear" w:color="auto" w:fill="FFFFFF"/>
        </w:rPr>
      </w:pPr>
    </w:p>
    <w:p w:rsidR="007C13E7" w:rsidRPr="005D2D3F" w:rsidRDefault="007C13E7" w:rsidP="0020300A">
      <w:pPr>
        <w:tabs>
          <w:tab w:val="clear" w:pos="2160"/>
          <w:tab w:val="left" w:pos="884"/>
        </w:tabs>
        <w:spacing w:line="276" w:lineRule="auto"/>
        <w:ind w:left="317"/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>Pri dodaní výrobku</w:t>
      </w:r>
      <w:r w:rsidR="0035089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je dodávateľ povinný predložiť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doklady v zmysle obchodného zákonníka č. 513/1991 Zb. a zákona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 xml:space="preserve">č. 250/2007 Z. z. o ochrane spotrebiteľa a o zmene zákona Slovenskej národnej rady č. 372/1990 Zb.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>o priestupkoch v znení neskorších predpisov, najmä:</w:t>
      </w:r>
    </w:p>
    <w:p w:rsidR="007C13E7" w:rsidRPr="005D2D3F" w:rsidRDefault="007C13E7" w:rsidP="0035089F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8" w:hanging="604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t>užívateľskú dokumentáciu výrobku (návod na použitie),</w:t>
      </w:r>
    </w:p>
    <w:p w:rsidR="007C13E7" w:rsidRPr="005D2D3F" w:rsidRDefault="007C13E7" w:rsidP="007C13E7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4" w:hanging="567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t>požaduje sa dodanie nového, doposiaľ nepoužitého tovaru v originálnom obale.</w:t>
      </w:r>
    </w:p>
    <w:p w:rsidR="002F5B1F" w:rsidRPr="007C13E7" w:rsidRDefault="002F5B1F" w:rsidP="007C13E7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</w:p>
    <w:p w:rsidR="00BA4DD8" w:rsidRPr="00EB4DB8" w:rsidRDefault="00BA4DD8" w:rsidP="00EB4DB8">
      <w:pPr>
        <w:ind w:right="-711"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EB4DB8">
        <w:rPr>
          <w:rFonts w:ascii="Arial Narrow" w:eastAsia="Calibri" w:hAnsi="Arial Narrow" w:cs="Arial"/>
        </w:rPr>
        <w:br/>
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EB4DB8">
        <w:rPr>
          <w:rFonts w:ascii="Arial Narrow" w:eastAsia="Calibri" w:hAnsi="Arial Narrow" w:cs="Arial"/>
        </w:rPr>
        <w:t>t.j</w:t>
      </w:r>
      <w:proofErr w:type="spellEnd"/>
      <w:r w:rsidRPr="00EB4DB8">
        <w:rPr>
          <w:rFonts w:ascii="Arial Narrow" w:eastAsia="Calibri" w:hAnsi="Arial Narrow" w:cs="Arial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:rsidR="00E65976" w:rsidRPr="00EB4DB8" w:rsidRDefault="00E65976" w:rsidP="00BA4DD8">
      <w:pPr>
        <w:ind w:right="-711"/>
        <w:rPr>
          <w:rFonts w:ascii="Arial Narrow" w:eastAsia="Calibri" w:hAnsi="Arial Narrow" w:cs="Arial"/>
        </w:rPr>
      </w:pPr>
    </w:p>
    <w:p w:rsidR="00E65976" w:rsidRPr="00EB4DB8" w:rsidRDefault="00E65976" w:rsidP="00E65976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Všetky dokumenty musia byť vyhotovené v slovenskom jazyku (úradný preklad), akceptovaný je aj český jazyk. </w:t>
      </w:r>
    </w:p>
    <w:p w:rsidR="00BA4DD8" w:rsidRPr="00EB4DB8" w:rsidRDefault="00BA4DD8" w:rsidP="002F5B1F">
      <w:pPr>
        <w:jc w:val="both"/>
        <w:rPr>
          <w:rFonts w:ascii="Arial Narrow" w:hAnsi="Arial Narrow"/>
        </w:rPr>
      </w:pPr>
    </w:p>
    <w:sectPr w:rsidR="00BA4DD8" w:rsidRPr="00EB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0328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2A3"/>
    <w:multiLevelType w:val="hybridMultilevel"/>
    <w:tmpl w:val="32043380"/>
    <w:lvl w:ilvl="0" w:tplc="D830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7055C"/>
    <w:multiLevelType w:val="hybridMultilevel"/>
    <w:tmpl w:val="1C0EA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EC1464"/>
    <w:multiLevelType w:val="hybridMultilevel"/>
    <w:tmpl w:val="852C7CD6"/>
    <w:lvl w:ilvl="0" w:tplc="48C08644">
      <w:start w:val="10"/>
      <w:numFmt w:val="bullet"/>
      <w:lvlText w:val="-"/>
      <w:lvlJc w:val="left"/>
      <w:pPr>
        <w:ind w:left="12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1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8"/>
  </w:num>
  <w:num w:numId="5">
    <w:abstractNumId w:val="17"/>
  </w:num>
  <w:num w:numId="6">
    <w:abstractNumId w:val="18"/>
  </w:num>
  <w:num w:numId="7">
    <w:abstractNumId w:val="2"/>
  </w:num>
  <w:num w:numId="8">
    <w:abstractNumId w:val="11"/>
  </w:num>
  <w:num w:numId="9">
    <w:abstractNumId w:val="6"/>
  </w:num>
  <w:num w:numId="10">
    <w:abstractNumId w:val="22"/>
  </w:num>
  <w:num w:numId="11">
    <w:abstractNumId w:val="21"/>
  </w:num>
  <w:num w:numId="12">
    <w:abstractNumId w:val="15"/>
  </w:num>
  <w:num w:numId="13">
    <w:abstractNumId w:val="7"/>
  </w:num>
  <w:num w:numId="14">
    <w:abstractNumId w:val="9"/>
  </w:num>
  <w:num w:numId="15">
    <w:abstractNumId w:val="16"/>
  </w:num>
  <w:num w:numId="16">
    <w:abstractNumId w:val="5"/>
  </w:num>
  <w:num w:numId="17">
    <w:abstractNumId w:val="10"/>
  </w:num>
  <w:num w:numId="18">
    <w:abstractNumId w:val="14"/>
  </w:num>
  <w:num w:numId="19">
    <w:abstractNumId w:val="0"/>
  </w:num>
  <w:num w:numId="20">
    <w:abstractNumId w:val="4"/>
  </w:num>
  <w:num w:numId="21">
    <w:abstractNumId w:val="3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A4721"/>
    <w:rsid w:val="000A4E8D"/>
    <w:rsid w:val="000D059F"/>
    <w:rsid w:val="000E68A1"/>
    <w:rsid w:val="0015730B"/>
    <w:rsid w:val="001B1807"/>
    <w:rsid w:val="0020300A"/>
    <w:rsid w:val="002F5B1F"/>
    <w:rsid w:val="0035089F"/>
    <w:rsid w:val="003611DB"/>
    <w:rsid w:val="004339F6"/>
    <w:rsid w:val="0043640E"/>
    <w:rsid w:val="004740B2"/>
    <w:rsid w:val="00476122"/>
    <w:rsid w:val="004E359E"/>
    <w:rsid w:val="005A1A08"/>
    <w:rsid w:val="005D4BB4"/>
    <w:rsid w:val="00662231"/>
    <w:rsid w:val="006808C2"/>
    <w:rsid w:val="00694C98"/>
    <w:rsid w:val="00701E37"/>
    <w:rsid w:val="007434C0"/>
    <w:rsid w:val="007454A2"/>
    <w:rsid w:val="00762125"/>
    <w:rsid w:val="007B1512"/>
    <w:rsid w:val="007C13E7"/>
    <w:rsid w:val="00887499"/>
    <w:rsid w:val="008C1E6E"/>
    <w:rsid w:val="008D235D"/>
    <w:rsid w:val="008E645C"/>
    <w:rsid w:val="009016E6"/>
    <w:rsid w:val="00987B83"/>
    <w:rsid w:val="009C36A9"/>
    <w:rsid w:val="009D28AB"/>
    <w:rsid w:val="00A608BC"/>
    <w:rsid w:val="00AE6DBE"/>
    <w:rsid w:val="00BA4DD8"/>
    <w:rsid w:val="00CE7641"/>
    <w:rsid w:val="00D315AB"/>
    <w:rsid w:val="00D814F6"/>
    <w:rsid w:val="00DA3E9C"/>
    <w:rsid w:val="00E65976"/>
    <w:rsid w:val="00EB4DB8"/>
    <w:rsid w:val="00EE65F8"/>
    <w:rsid w:val="00F45A0B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539B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nhideWhenUsed/>
    <w:rsid w:val="00662231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62231"/>
    <w:rPr>
      <w:rFonts w:ascii="Arial" w:hAnsi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38</cp:revision>
  <dcterms:created xsi:type="dcterms:W3CDTF">2023-06-13T08:54:00Z</dcterms:created>
  <dcterms:modified xsi:type="dcterms:W3CDTF">2024-10-24T09:22:00Z</dcterms:modified>
</cp:coreProperties>
</file>