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 Bankové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02D72365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FC0DA9">
        <w:rPr>
          <w:sz w:val="20"/>
          <w:szCs w:val="20"/>
        </w:rPr>
        <w:t>2</w:t>
      </w:r>
      <w:r w:rsidR="00AD6227">
        <w:rPr>
          <w:sz w:val="20"/>
          <w:szCs w:val="20"/>
        </w:rPr>
        <w:t>7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6CA7C5C4" w14:textId="00B79927" w:rsidR="00BA74A6" w:rsidRPr="00AD6227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špecifikovaný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to  </w:t>
      </w:r>
      <w:proofErr w:type="spellStart"/>
      <w:r w:rsidRPr="00AD6227">
        <w:rPr>
          <w:sz w:val="20"/>
          <w:szCs w:val="20"/>
        </w:rPr>
        <w:t>čo</w:t>
      </w:r>
      <w:proofErr w:type="spellEnd"/>
      <w:r w:rsidRPr="00AD6227">
        <w:rPr>
          <w:sz w:val="20"/>
          <w:szCs w:val="20"/>
        </w:rPr>
        <w:t xml:space="preserve">  do  </w:t>
      </w:r>
      <w:proofErr w:type="spellStart"/>
      <w:r w:rsidRPr="00AD6227">
        <w:rPr>
          <w:sz w:val="20"/>
          <w:szCs w:val="20"/>
        </w:rPr>
        <w:t>množstva</w:t>
      </w:r>
      <w:proofErr w:type="spell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500,-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0EF09BB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Pri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položke</w:t>
      </w:r>
      <w:proofErr w:type="spellEnd"/>
      <w:r w:rsidR="00A95563" w:rsidRPr="003579FB">
        <w:rPr>
          <w:sz w:val="20"/>
          <w:szCs w:val="20"/>
          <w:highlight w:val="yellow"/>
        </w:rPr>
        <w:t xml:space="preserve"> “</w:t>
      </w:r>
      <w:r w:rsidR="00225D4B">
        <w:rPr>
          <w:sz w:val="20"/>
          <w:szCs w:val="20"/>
          <w:highlight w:val="yellow"/>
        </w:rPr>
        <w:t>Notebook</w:t>
      </w:r>
      <w:r w:rsidR="00A95563" w:rsidRPr="003579FB">
        <w:rPr>
          <w:sz w:val="20"/>
          <w:szCs w:val="20"/>
          <w:highlight w:val="yellow"/>
        </w:rPr>
        <w:t xml:space="preserve"> 14</w:t>
      </w:r>
      <w:r w:rsidR="00225D4B">
        <w:rPr>
          <w:sz w:val="20"/>
          <w:szCs w:val="20"/>
          <w:highlight w:val="yellow"/>
        </w:rPr>
        <w:t>76</w:t>
      </w:r>
      <w:r w:rsidR="00A95563" w:rsidRPr="003579FB">
        <w:rPr>
          <w:sz w:val="20"/>
          <w:szCs w:val="20"/>
          <w:highlight w:val="yellow"/>
        </w:rPr>
        <w:t>”</w:t>
      </w:r>
      <w:r w:rsidR="00514090" w:rsidRPr="003579FB">
        <w:rPr>
          <w:sz w:val="20"/>
          <w:szCs w:val="20"/>
          <w:highlight w:val="yellow"/>
        </w:rPr>
        <w:t xml:space="preserve"> je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doba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4B2B94">
        <w:rPr>
          <w:sz w:val="20"/>
          <w:szCs w:val="20"/>
          <w:highlight w:val="yellow"/>
        </w:rPr>
        <w:t xml:space="preserve">min. 24 </w:t>
      </w:r>
      <w:proofErr w:type="spellStart"/>
      <w:r w:rsidR="004B2B94">
        <w:rPr>
          <w:sz w:val="20"/>
          <w:szCs w:val="20"/>
          <w:highlight w:val="yellow"/>
        </w:rPr>
        <w:t>mesiacov</w:t>
      </w:r>
      <w:proofErr w:type="spellEnd"/>
      <w:r w:rsidR="004B2B94">
        <w:rPr>
          <w:sz w:val="20"/>
          <w:szCs w:val="20"/>
          <w:highlight w:val="yellow"/>
        </w:rPr>
        <w:t xml:space="preserve">, </w:t>
      </w:r>
      <w:proofErr w:type="spellStart"/>
      <w:r w:rsidR="004B2B94">
        <w:rPr>
          <w:sz w:val="20"/>
          <w:szCs w:val="20"/>
          <w:highlight w:val="yellow"/>
        </w:rPr>
        <w:t>garantovaná</w:t>
      </w:r>
      <w:proofErr w:type="spellEnd"/>
      <w:r w:rsidR="004B2B94">
        <w:rPr>
          <w:sz w:val="20"/>
          <w:szCs w:val="20"/>
          <w:highlight w:val="yellow"/>
        </w:rPr>
        <w:t xml:space="preserve"> </w:t>
      </w:r>
      <w:r w:rsidR="003579FB" w:rsidRPr="003579FB">
        <w:rPr>
          <w:sz w:val="20"/>
          <w:szCs w:val="20"/>
          <w:highlight w:val="yellow"/>
        </w:rPr>
        <w:t xml:space="preserve">od </w:t>
      </w:r>
      <w:proofErr w:type="spellStart"/>
      <w:r w:rsidR="003579FB" w:rsidRPr="003579FB">
        <w:rPr>
          <w:sz w:val="20"/>
          <w:szCs w:val="20"/>
          <w:highlight w:val="yellow"/>
        </w:rPr>
        <w:t>výrobcu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632A90">
        <w:rPr>
          <w:sz w:val="20"/>
          <w:szCs w:val="20"/>
          <w:highlight w:val="yellow"/>
        </w:rPr>
        <w:t xml:space="preserve">a </w:t>
      </w:r>
      <w:proofErr w:type="spellStart"/>
      <w:r w:rsidR="00632A90">
        <w:rPr>
          <w:sz w:val="20"/>
          <w:szCs w:val="20"/>
          <w:highlight w:val="yellow"/>
        </w:rPr>
        <w:t>jeho</w:t>
      </w:r>
      <w:proofErr w:type="spellEnd"/>
      <w:r w:rsidR="00632A90">
        <w:rPr>
          <w:sz w:val="20"/>
          <w:szCs w:val="20"/>
          <w:highlight w:val="yellow"/>
        </w:rPr>
        <w:t xml:space="preserve"> </w:t>
      </w:r>
      <w:proofErr w:type="spellStart"/>
      <w:r w:rsidR="00632A90">
        <w:rPr>
          <w:sz w:val="20"/>
          <w:szCs w:val="20"/>
          <w:highlight w:val="yellow"/>
        </w:rPr>
        <w:t>autorizovanými</w:t>
      </w:r>
      <w:proofErr w:type="spellEnd"/>
      <w:r w:rsidR="00632A90">
        <w:rPr>
          <w:sz w:val="20"/>
          <w:szCs w:val="20"/>
          <w:highlight w:val="yellow"/>
        </w:rPr>
        <w:t xml:space="preserve"> </w:t>
      </w:r>
      <w:proofErr w:type="spellStart"/>
      <w:r w:rsidR="00632A90">
        <w:rPr>
          <w:sz w:val="20"/>
          <w:szCs w:val="20"/>
          <w:highlight w:val="yellow"/>
        </w:rPr>
        <w:t>servisnými</w:t>
      </w:r>
      <w:proofErr w:type="spellEnd"/>
      <w:r w:rsidR="00632A90">
        <w:rPr>
          <w:sz w:val="20"/>
          <w:szCs w:val="20"/>
          <w:highlight w:val="yellow"/>
        </w:rPr>
        <w:t xml:space="preserve"> </w:t>
      </w:r>
      <w:proofErr w:type="spellStart"/>
      <w:r w:rsidR="00632A90">
        <w:rPr>
          <w:sz w:val="20"/>
          <w:szCs w:val="20"/>
          <w:highlight w:val="yellow"/>
        </w:rPr>
        <w:t>strediskami</w:t>
      </w:r>
      <w:proofErr w:type="spellEnd"/>
      <w:r w:rsidR="00632A90">
        <w:rPr>
          <w:sz w:val="20"/>
          <w:szCs w:val="20"/>
          <w:highlight w:val="yellow"/>
        </w:rPr>
        <w:t xml:space="preserve"> </w:t>
      </w:r>
      <w:r w:rsidR="0033063B">
        <w:rPr>
          <w:sz w:val="20"/>
          <w:szCs w:val="20"/>
          <w:highlight w:val="yellow"/>
        </w:rPr>
        <w:t>(</w:t>
      </w:r>
      <w:proofErr w:type="spellStart"/>
      <w:r w:rsidR="00632A90">
        <w:rPr>
          <w:sz w:val="20"/>
          <w:szCs w:val="20"/>
          <w:highlight w:val="yellow"/>
        </w:rPr>
        <w:t>minimálne</w:t>
      </w:r>
      <w:proofErr w:type="spellEnd"/>
      <w:r w:rsidR="00632A90">
        <w:rPr>
          <w:sz w:val="20"/>
          <w:szCs w:val="20"/>
          <w:highlight w:val="yellow"/>
        </w:rPr>
        <w:t xml:space="preserve"> </w:t>
      </w:r>
      <w:proofErr w:type="spellStart"/>
      <w:r w:rsidR="00632A90">
        <w:rPr>
          <w:sz w:val="20"/>
          <w:szCs w:val="20"/>
          <w:highlight w:val="yellow"/>
        </w:rPr>
        <w:t>typu</w:t>
      </w:r>
      <w:proofErr w:type="spellEnd"/>
      <w:r w:rsidR="00632A90">
        <w:rPr>
          <w:sz w:val="20"/>
          <w:szCs w:val="20"/>
          <w:highlight w:val="yellow"/>
        </w:rPr>
        <w:t xml:space="preserve"> Carry-In)</w:t>
      </w:r>
      <w:r w:rsidR="00772B3D">
        <w:rPr>
          <w:sz w:val="20"/>
          <w:szCs w:val="20"/>
        </w:rPr>
        <w:t xml:space="preserve"> </w:t>
      </w:r>
      <w:r w:rsidR="00772B3D" w:rsidRPr="00624B21">
        <w:rPr>
          <w:sz w:val="20"/>
          <w:szCs w:val="20"/>
          <w:highlight w:val="yellow"/>
        </w:rPr>
        <w:t>– (</w:t>
      </w:r>
      <w:proofErr w:type="spellStart"/>
      <w:r w:rsidR="00772B3D" w:rsidRPr="00624B21">
        <w:rPr>
          <w:sz w:val="20"/>
          <w:szCs w:val="20"/>
          <w:highlight w:val="yellow"/>
        </w:rPr>
        <w:t>uvedie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sa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pri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čast</w:t>
      </w:r>
      <w:r w:rsidR="00772B3D">
        <w:rPr>
          <w:sz w:val="20"/>
          <w:szCs w:val="20"/>
        </w:rPr>
        <w:t>i</w:t>
      </w:r>
      <w:proofErr w:type="spellEnd"/>
      <w:r w:rsidR="00772B3D">
        <w:rPr>
          <w:sz w:val="20"/>
          <w:szCs w:val="20"/>
        </w:rPr>
        <w:t xml:space="preserve"> </w:t>
      </w:r>
      <w:r w:rsidR="00FA0749" w:rsidRPr="00624B21">
        <w:rPr>
          <w:sz w:val="20"/>
          <w:szCs w:val="20"/>
          <w:highlight w:val="yellow"/>
        </w:rPr>
        <w:t>3)</w:t>
      </w:r>
      <w:r w:rsidR="00FA0749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D69AB" w14:textId="77777777" w:rsidR="00F87D60" w:rsidRDefault="00F87D60">
      <w:r>
        <w:separator/>
      </w:r>
    </w:p>
  </w:endnote>
  <w:endnote w:type="continuationSeparator" w:id="0">
    <w:p w14:paraId="1F216B24" w14:textId="77777777" w:rsidR="00F87D60" w:rsidRDefault="00F8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06DB0" w14:textId="77777777" w:rsidR="00F87D60" w:rsidRDefault="00F87D60">
      <w:r>
        <w:separator/>
      </w:r>
    </w:p>
  </w:footnote>
  <w:footnote w:type="continuationSeparator" w:id="0">
    <w:p w14:paraId="309F302E" w14:textId="77777777" w:rsidR="00F87D60" w:rsidRDefault="00F8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B6D82"/>
    <w:rsid w:val="000D5CDD"/>
    <w:rsid w:val="000F7BCC"/>
    <w:rsid w:val="00103CFF"/>
    <w:rsid w:val="00120B9B"/>
    <w:rsid w:val="0015732B"/>
    <w:rsid w:val="001A66B8"/>
    <w:rsid w:val="001A6FE7"/>
    <w:rsid w:val="001C48E8"/>
    <w:rsid w:val="001E1EF8"/>
    <w:rsid w:val="00215299"/>
    <w:rsid w:val="00225D4B"/>
    <w:rsid w:val="002406AC"/>
    <w:rsid w:val="0029429C"/>
    <w:rsid w:val="0029641D"/>
    <w:rsid w:val="002E1CA5"/>
    <w:rsid w:val="00306E04"/>
    <w:rsid w:val="00330495"/>
    <w:rsid w:val="0033063B"/>
    <w:rsid w:val="00355B85"/>
    <w:rsid w:val="003579FB"/>
    <w:rsid w:val="0039381C"/>
    <w:rsid w:val="003E342F"/>
    <w:rsid w:val="003F0872"/>
    <w:rsid w:val="004339F8"/>
    <w:rsid w:val="00474B0A"/>
    <w:rsid w:val="0047761D"/>
    <w:rsid w:val="004B2B94"/>
    <w:rsid w:val="004C0826"/>
    <w:rsid w:val="004F7B84"/>
    <w:rsid w:val="00514090"/>
    <w:rsid w:val="00570773"/>
    <w:rsid w:val="005B4E17"/>
    <w:rsid w:val="005B7472"/>
    <w:rsid w:val="00605D13"/>
    <w:rsid w:val="00624B21"/>
    <w:rsid w:val="00631A1E"/>
    <w:rsid w:val="00632A90"/>
    <w:rsid w:val="006467CA"/>
    <w:rsid w:val="00650F64"/>
    <w:rsid w:val="0066037A"/>
    <w:rsid w:val="006A7C7C"/>
    <w:rsid w:val="006B40F2"/>
    <w:rsid w:val="006C2D16"/>
    <w:rsid w:val="006D4C9C"/>
    <w:rsid w:val="006E4433"/>
    <w:rsid w:val="006F151E"/>
    <w:rsid w:val="00722CA2"/>
    <w:rsid w:val="00772B3D"/>
    <w:rsid w:val="00787B1A"/>
    <w:rsid w:val="007C3FA3"/>
    <w:rsid w:val="007C51DF"/>
    <w:rsid w:val="007E4CF4"/>
    <w:rsid w:val="007E5EFC"/>
    <w:rsid w:val="007E6699"/>
    <w:rsid w:val="00841286"/>
    <w:rsid w:val="00870865"/>
    <w:rsid w:val="00892CE0"/>
    <w:rsid w:val="008A6C1A"/>
    <w:rsid w:val="008B4139"/>
    <w:rsid w:val="008F0C56"/>
    <w:rsid w:val="008F6250"/>
    <w:rsid w:val="00953C20"/>
    <w:rsid w:val="00962F6B"/>
    <w:rsid w:val="0098640F"/>
    <w:rsid w:val="0099272C"/>
    <w:rsid w:val="00A00802"/>
    <w:rsid w:val="00A42C54"/>
    <w:rsid w:val="00A46637"/>
    <w:rsid w:val="00A806BA"/>
    <w:rsid w:val="00A80C5A"/>
    <w:rsid w:val="00A814A1"/>
    <w:rsid w:val="00A8348D"/>
    <w:rsid w:val="00A86B5A"/>
    <w:rsid w:val="00A95563"/>
    <w:rsid w:val="00AC222F"/>
    <w:rsid w:val="00AD6227"/>
    <w:rsid w:val="00AF3613"/>
    <w:rsid w:val="00B244B8"/>
    <w:rsid w:val="00B32800"/>
    <w:rsid w:val="00B57AD7"/>
    <w:rsid w:val="00BA74A6"/>
    <w:rsid w:val="00BA798B"/>
    <w:rsid w:val="00BD68AD"/>
    <w:rsid w:val="00BD6C0D"/>
    <w:rsid w:val="00C0251D"/>
    <w:rsid w:val="00C1782B"/>
    <w:rsid w:val="00C34F78"/>
    <w:rsid w:val="00C35F61"/>
    <w:rsid w:val="00C94BB0"/>
    <w:rsid w:val="00CA642D"/>
    <w:rsid w:val="00CB0CFF"/>
    <w:rsid w:val="00CC6951"/>
    <w:rsid w:val="00CD2836"/>
    <w:rsid w:val="00CF7E97"/>
    <w:rsid w:val="00D52AFB"/>
    <w:rsid w:val="00D60FDF"/>
    <w:rsid w:val="00DA227D"/>
    <w:rsid w:val="00DE7AAE"/>
    <w:rsid w:val="00E33815"/>
    <w:rsid w:val="00E62C7B"/>
    <w:rsid w:val="00EC41A7"/>
    <w:rsid w:val="00EF710A"/>
    <w:rsid w:val="00F04822"/>
    <w:rsid w:val="00F0611D"/>
    <w:rsid w:val="00F87D60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2352</Words>
  <Characters>13411</Characters>
  <Application>Microsoft Office Word</Application>
  <DocSecurity>0</DocSecurity>
  <Lines>111</Lines>
  <Paragraphs>31</Paragraphs>
  <ScaleCrop>false</ScaleCrop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91</cp:revision>
  <dcterms:created xsi:type="dcterms:W3CDTF">2024-02-19T13:59:00Z</dcterms:created>
  <dcterms:modified xsi:type="dcterms:W3CDTF">2024-10-11T10:23:00Z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