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7A512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1497C2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0E9663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AC348B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68BDDE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48D3C7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F142F3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A22CF4" w14:textId="77777777" w:rsid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A3942F" w14:textId="77777777" w:rsidR="00F26828" w:rsidRP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778BF8A" w14:textId="77777777" w:rsidR="00F26828" w:rsidRP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6828">
        <w:rPr>
          <w:rFonts w:ascii="Times New Roman" w:hAnsi="Times New Roman" w:cs="Times New Roman"/>
          <w:b/>
          <w:sz w:val="36"/>
          <w:szCs w:val="36"/>
        </w:rPr>
        <w:t>Súťažné podklady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1E5903A0" w14:textId="77777777" w:rsidR="008E0AA2" w:rsidRPr="00F26828" w:rsidRDefault="00F26828" w:rsidP="00F26828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6828">
        <w:rPr>
          <w:rFonts w:ascii="Times New Roman" w:hAnsi="Times New Roman" w:cs="Times New Roman"/>
          <w:b/>
          <w:sz w:val="36"/>
          <w:szCs w:val="36"/>
        </w:rPr>
        <w:t xml:space="preserve">Časť </w:t>
      </w:r>
      <w:r>
        <w:rPr>
          <w:rFonts w:ascii="Times New Roman" w:hAnsi="Times New Roman" w:cs="Times New Roman"/>
          <w:b/>
          <w:sz w:val="36"/>
          <w:szCs w:val="36"/>
        </w:rPr>
        <w:t>E - Požiadavky na ponuku</w:t>
      </w:r>
    </w:p>
    <w:p w14:paraId="57ECD994" w14:textId="77777777" w:rsidR="00F26828" w:rsidRPr="00F26828" w:rsidRDefault="00F26828">
      <w:pPr>
        <w:rPr>
          <w:rFonts w:ascii="Times New Roman" w:hAnsi="Times New Roman" w:cs="Times New Roman"/>
          <w:b/>
          <w:sz w:val="36"/>
          <w:szCs w:val="36"/>
        </w:rPr>
      </w:pPr>
      <w:r w:rsidRPr="00F26828">
        <w:rPr>
          <w:rFonts w:ascii="Times New Roman" w:hAnsi="Times New Roman" w:cs="Times New Roman"/>
          <w:b/>
          <w:sz w:val="36"/>
          <w:szCs w:val="36"/>
        </w:rPr>
        <w:br w:type="page"/>
      </w:r>
    </w:p>
    <w:p w14:paraId="3463F568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lastRenderedPageBreak/>
        <w:t>V tomto dokumente Požiadavky na ponuku Verejný obstarávateľ stanovuje požiadavky, ktoré musí obsahovať každá ponuka predkladaná uchádzačom vo Verejnom obstarávaní.</w:t>
      </w:r>
    </w:p>
    <w:p w14:paraId="79CA6D2C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Pokiaľ sa v týchto Požiadavkách na ponuku vyskytuje pojem uvedený veľkým začiatočným písmenom, tento pojem má význam ako mu je pridelený v dokumente Súťažných podkladov označenom ako</w:t>
      </w:r>
      <w:r w:rsidR="009901A7">
        <w:rPr>
          <w:rFonts w:ascii="Times New Roman" w:hAnsi="Times New Roman" w:cs="Times New Roman"/>
          <w:sz w:val="22"/>
          <w:szCs w:val="22"/>
        </w:rPr>
        <w:t>Pokyny pre uchádzačov</w:t>
      </w:r>
      <w:r w:rsidRPr="009E1197">
        <w:rPr>
          <w:rFonts w:ascii="Times New Roman" w:hAnsi="Times New Roman" w:cs="Times New Roman"/>
          <w:sz w:val="22"/>
          <w:szCs w:val="22"/>
        </w:rPr>
        <w:t>.</w:t>
      </w:r>
    </w:p>
    <w:p w14:paraId="65CB1B61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Súčasťou ponuky uchádzača predkladanej vo Verejnom obstarávaní musia byť nasledovné dokumenty a doklady:</w:t>
      </w:r>
    </w:p>
    <w:p w14:paraId="3BE655BE" w14:textId="77777777" w:rsidR="009E1197" w:rsidRPr="009901A7" w:rsidRDefault="009E1197" w:rsidP="009901A7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901A7">
        <w:rPr>
          <w:rFonts w:ascii="Times New Roman" w:hAnsi="Times New Roman" w:cs="Times New Roman"/>
          <w:b/>
          <w:sz w:val="22"/>
          <w:szCs w:val="22"/>
        </w:rPr>
        <w:t>Úvodný list ponuky</w:t>
      </w:r>
      <w:r w:rsidRPr="009901A7">
        <w:rPr>
          <w:rFonts w:ascii="Times New Roman" w:hAnsi="Times New Roman" w:cs="Times New Roman"/>
          <w:sz w:val="22"/>
          <w:szCs w:val="22"/>
        </w:rPr>
        <w:t xml:space="preserve"> vypracovaný podľa vzoru Prílohy F1 Súťažných podkladov;</w:t>
      </w:r>
    </w:p>
    <w:p w14:paraId="0E743D62" w14:textId="77777777" w:rsidR="009E1197" w:rsidRPr="009901A7" w:rsidRDefault="009E1197" w:rsidP="009901A7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901A7">
        <w:rPr>
          <w:rFonts w:ascii="Times New Roman" w:hAnsi="Times New Roman" w:cs="Times New Roman"/>
          <w:b/>
          <w:sz w:val="22"/>
          <w:szCs w:val="22"/>
        </w:rPr>
        <w:t>Doklady na preukázanie splnenia podmienok účasti</w:t>
      </w:r>
      <w:r w:rsidRPr="009901A7">
        <w:rPr>
          <w:rFonts w:ascii="Times New Roman" w:hAnsi="Times New Roman" w:cs="Times New Roman"/>
          <w:sz w:val="22"/>
          <w:szCs w:val="22"/>
        </w:rPr>
        <w:t xml:space="preserve"> ako sú vyžadované v časti Súťažných podkladov označenej ako D_Podmienky účasti;</w:t>
      </w:r>
    </w:p>
    <w:p w14:paraId="1C638689" w14:textId="77777777" w:rsidR="009E1197" w:rsidRPr="009901A7" w:rsidRDefault="009E1197" w:rsidP="009901A7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901A7">
        <w:rPr>
          <w:rFonts w:ascii="Times New Roman" w:hAnsi="Times New Roman" w:cs="Times New Roman"/>
          <w:b/>
          <w:sz w:val="22"/>
          <w:szCs w:val="22"/>
        </w:rPr>
        <w:t>Doklad o zložení zábezpeky ponuky</w:t>
      </w:r>
      <w:r w:rsidRPr="009901A7">
        <w:rPr>
          <w:rFonts w:ascii="Times New Roman" w:hAnsi="Times New Roman" w:cs="Times New Roman"/>
          <w:sz w:val="22"/>
          <w:szCs w:val="22"/>
        </w:rPr>
        <w:t xml:space="preserve"> v súlade s bodom 10 PPU; </w:t>
      </w:r>
    </w:p>
    <w:p w14:paraId="312CF682" w14:textId="77777777" w:rsidR="009E1197" w:rsidRPr="009901A7" w:rsidRDefault="009E1197" w:rsidP="009901A7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901A7">
        <w:rPr>
          <w:rFonts w:ascii="Times New Roman" w:hAnsi="Times New Roman" w:cs="Times New Roman"/>
          <w:b/>
          <w:sz w:val="22"/>
          <w:szCs w:val="22"/>
        </w:rPr>
        <w:t>Vyplnené časti Zmluvy o Dielo</w:t>
      </w:r>
      <w:r w:rsidRPr="009901A7">
        <w:rPr>
          <w:rFonts w:ascii="Times New Roman" w:hAnsi="Times New Roman" w:cs="Times New Roman"/>
          <w:sz w:val="22"/>
          <w:szCs w:val="22"/>
        </w:rPr>
        <w:t xml:space="preserve"> v nasledovnom rozsahu:</w:t>
      </w:r>
    </w:p>
    <w:p w14:paraId="24F9B0AB" w14:textId="77777777" w:rsidR="009E1197" w:rsidRPr="009E1197" w:rsidRDefault="009E1197" w:rsidP="009901A7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901A7">
        <w:rPr>
          <w:rFonts w:ascii="Times New Roman" w:hAnsi="Times New Roman" w:cs="Times New Roman"/>
          <w:b/>
          <w:sz w:val="22"/>
          <w:szCs w:val="22"/>
        </w:rPr>
        <w:t>Príloha č. 2 Zmluvy o Dielo – Harmonogram plnenia</w:t>
      </w:r>
      <w:r w:rsidRPr="009E1197">
        <w:rPr>
          <w:rFonts w:ascii="Times New Roman" w:hAnsi="Times New Roman" w:cs="Times New Roman"/>
          <w:sz w:val="22"/>
          <w:szCs w:val="22"/>
        </w:rPr>
        <w:t xml:space="preserve"> vypracovaná podľa pokynov uvedených v týchto Požiadavkách na ponuku;</w:t>
      </w:r>
    </w:p>
    <w:p w14:paraId="19FB68FD" w14:textId="77777777" w:rsidR="009E1197" w:rsidRPr="009E1197" w:rsidRDefault="009E1197" w:rsidP="009901A7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901A7">
        <w:rPr>
          <w:rFonts w:ascii="Times New Roman" w:hAnsi="Times New Roman" w:cs="Times New Roman"/>
          <w:b/>
          <w:sz w:val="22"/>
          <w:szCs w:val="22"/>
        </w:rPr>
        <w:t>Príloha č. 3 Zmluvy o Dielo – Rozpočet a rozpis fakturačných míľnikov</w:t>
      </w:r>
      <w:r w:rsidRPr="009E1197">
        <w:rPr>
          <w:rFonts w:ascii="Times New Roman" w:hAnsi="Times New Roman" w:cs="Times New Roman"/>
          <w:sz w:val="22"/>
          <w:szCs w:val="22"/>
        </w:rPr>
        <w:t xml:space="preserve"> vypracovaná podľa pokynov uvedených v týchto Požiadavkách na ponuku; </w:t>
      </w:r>
    </w:p>
    <w:p w14:paraId="5CF775B8" w14:textId="77777777" w:rsidR="009E1197" w:rsidRPr="009E1197" w:rsidRDefault="009E1197" w:rsidP="009901A7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901A7">
        <w:rPr>
          <w:rFonts w:ascii="Times New Roman" w:hAnsi="Times New Roman" w:cs="Times New Roman"/>
          <w:b/>
          <w:sz w:val="22"/>
          <w:szCs w:val="22"/>
        </w:rPr>
        <w:t>Príloha č. 4 Zmluvy o Dielo – Ponuka Zhotoviteľa</w:t>
      </w:r>
      <w:r w:rsidRPr="009E1197">
        <w:rPr>
          <w:rFonts w:ascii="Times New Roman" w:hAnsi="Times New Roman" w:cs="Times New Roman"/>
          <w:sz w:val="22"/>
          <w:szCs w:val="22"/>
        </w:rPr>
        <w:t xml:space="preserve"> vypracovaná podľa pokynov uvedených v týchto Požiadavkách na ponuku;</w:t>
      </w:r>
    </w:p>
    <w:p w14:paraId="1C6BFC72" w14:textId="77777777" w:rsidR="009E1197" w:rsidRPr="009E1197" w:rsidRDefault="009E1197" w:rsidP="009901A7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901A7">
        <w:rPr>
          <w:rFonts w:ascii="Times New Roman" w:hAnsi="Times New Roman" w:cs="Times New Roman"/>
          <w:b/>
          <w:sz w:val="22"/>
          <w:szCs w:val="22"/>
        </w:rPr>
        <w:t>Príloha č. 5 Zmluvy o Dielo – Zoznam Subdodávateľov</w:t>
      </w:r>
      <w:r w:rsidRPr="009E1197">
        <w:rPr>
          <w:rFonts w:ascii="Times New Roman" w:hAnsi="Times New Roman" w:cs="Times New Roman"/>
          <w:sz w:val="22"/>
          <w:szCs w:val="22"/>
        </w:rPr>
        <w:t xml:space="preserve"> doplnená o všetky údaje vo vzore danej prílohy; a</w:t>
      </w:r>
    </w:p>
    <w:p w14:paraId="75C06AC4" w14:textId="77777777" w:rsidR="009E1197" w:rsidRPr="009E1197" w:rsidRDefault="009E1197" w:rsidP="009901A7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901A7">
        <w:rPr>
          <w:rFonts w:ascii="Times New Roman" w:hAnsi="Times New Roman" w:cs="Times New Roman"/>
          <w:b/>
          <w:sz w:val="22"/>
          <w:szCs w:val="22"/>
        </w:rPr>
        <w:t>Príloha č. 7 Zmluvy o Dielo – Zoznam Odborníkov</w:t>
      </w:r>
      <w:r w:rsidRPr="009E1197">
        <w:rPr>
          <w:rFonts w:ascii="Times New Roman" w:hAnsi="Times New Roman" w:cs="Times New Roman"/>
          <w:sz w:val="22"/>
          <w:szCs w:val="22"/>
        </w:rPr>
        <w:t xml:space="preserve"> doplnená o všet</w:t>
      </w:r>
      <w:r w:rsidR="009901A7">
        <w:rPr>
          <w:rFonts w:ascii="Times New Roman" w:hAnsi="Times New Roman" w:cs="Times New Roman"/>
          <w:sz w:val="22"/>
          <w:szCs w:val="22"/>
        </w:rPr>
        <w:t>ky údaje vo vzore danej prílohy</w:t>
      </w:r>
      <w:r w:rsidRPr="009E1197">
        <w:rPr>
          <w:rFonts w:ascii="Times New Roman" w:hAnsi="Times New Roman" w:cs="Times New Roman"/>
          <w:sz w:val="22"/>
          <w:szCs w:val="22"/>
        </w:rPr>
        <w:t>; a</w:t>
      </w:r>
    </w:p>
    <w:p w14:paraId="71CCDABC" w14:textId="77777777" w:rsidR="009E1197" w:rsidRPr="009E1197" w:rsidRDefault="009E1197" w:rsidP="009901A7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73829">
        <w:rPr>
          <w:rFonts w:ascii="Times New Roman" w:hAnsi="Times New Roman" w:cs="Times New Roman"/>
          <w:b/>
          <w:sz w:val="22"/>
          <w:szCs w:val="22"/>
        </w:rPr>
        <w:t>Vyplnené časti SLA Zmluvy</w:t>
      </w:r>
      <w:r w:rsidRPr="009E1197">
        <w:rPr>
          <w:rFonts w:ascii="Times New Roman" w:hAnsi="Times New Roman" w:cs="Times New Roman"/>
          <w:sz w:val="22"/>
          <w:szCs w:val="22"/>
        </w:rPr>
        <w:t xml:space="preserve"> v nasledovnom rozsahu:</w:t>
      </w:r>
    </w:p>
    <w:p w14:paraId="5AF0501D" w14:textId="77777777" w:rsidR="009E1197" w:rsidRPr="009E1197" w:rsidRDefault="009E1197" w:rsidP="009901A7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73829">
        <w:rPr>
          <w:rFonts w:ascii="Times New Roman" w:hAnsi="Times New Roman" w:cs="Times New Roman"/>
          <w:b/>
          <w:sz w:val="22"/>
          <w:szCs w:val="22"/>
        </w:rPr>
        <w:t>Príloha č. 5 SLA Zmluvy – Zoznam Subdodávateľov</w:t>
      </w:r>
      <w:r w:rsidRPr="009E1197">
        <w:rPr>
          <w:rFonts w:ascii="Times New Roman" w:hAnsi="Times New Roman" w:cs="Times New Roman"/>
          <w:sz w:val="22"/>
          <w:szCs w:val="22"/>
        </w:rPr>
        <w:t xml:space="preserve"> doplnená o všet</w:t>
      </w:r>
      <w:r w:rsidR="009901A7">
        <w:rPr>
          <w:rFonts w:ascii="Times New Roman" w:hAnsi="Times New Roman" w:cs="Times New Roman"/>
          <w:sz w:val="22"/>
          <w:szCs w:val="22"/>
        </w:rPr>
        <w:t>ky údaje vo vzore danej prílohy;</w:t>
      </w:r>
    </w:p>
    <w:p w14:paraId="503E3F14" w14:textId="77777777" w:rsidR="009E1197" w:rsidRPr="009E1197" w:rsidRDefault="009E1197" w:rsidP="009901A7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73829">
        <w:rPr>
          <w:rFonts w:ascii="Times New Roman" w:hAnsi="Times New Roman" w:cs="Times New Roman"/>
          <w:b/>
          <w:sz w:val="22"/>
          <w:szCs w:val="22"/>
        </w:rPr>
        <w:t>Príloha č. 7 SLA Zmluvy – Zoznam Odborníkov</w:t>
      </w:r>
      <w:r w:rsidRPr="009E1197">
        <w:rPr>
          <w:rFonts w:ascii="Times New Roman" w:hAnsi="Times New Roman" w:cs="Times New Roman"/>
          <w:sz w:val="22"/>
          <w:szCs w:val="22"/>
        </w:rPr>
        <w:t xml:space="preserve"> doplnená o všetky údaje</w:t>
      </w:r>
      <w:r w:rsidR="009901A7">
        <w:rPr>
          <w:rFonts w:ascii="Times New Roman" w:hAnsi="Times New Roman" w:cs="Times New Roman"/>
          <w:sz w:val="22"/>
          <w:szCs w:val="22"/>
        </w:rPr>
        <w:t xml:space="preserve"> vo vzore danej prílohy; </w:t>
      </w:r>
      <w:r w:rsidRPr="009E1197">
        <w:rPr>
          <w:rFonts w:ascii="Times New Roman" w:hAnsi="Times New Roman" w:cs="Times New Roman"/>
          <w:sz w:val="22"/>
          <w:szCs w:val="22"/>
        </w:rPr>
        <w:t>a</w:t>
      </w:r>
    </w:p>
    <w:p w14:paraId="7F06B43C" w14:textId="77777777" w:rsidR="009E1197" w:rsidRPr="009E1197" w:rsidRDefault="009E1197" w:rsidP="009901A7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73829">
        <w:rPr>
          <w:rFonts w:ascii="Times New Roman" w:hAnsi="Times New Roman" w:cs="Times New Roman"/>
          <w:b/>
          <w:sz w:val="22"/>
          <w:szCs w:val="22"/>
        </w:rPr>
        <w:t>Príloha č. 8 SLA Zmluvy – Špecifikácia ceny</w:t>
      </w:r>
      <w:r w:rsidRPr="009E1197">
        <w:rPr>
          <w:rFonts w:ascii="Times New Roman" w:hAnsi="Times New Roman" w:cs="Times New Roman"/>
          <w:sz w:val="22"/>
          <w:szCs w:val="22"/>
        </w:rPr>
        <w:t xml:space="preserve"> vypracovaná podľa pokynov uvedených v týchto Požiadavkách na ponuku.</w:t>
      </w:r>
    </w:p>
    <w:p w14:paraId="3F3D570F" w14:textId="77777777" w:rsid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Jednotlivé dokumenty, pri ktorých sa uvádza, že budú vypracované v súlade s týmito Požiadavkami na ponuku, budú vypracované v súlade s nasledovnými podmienkami:</w:t>
      </w:r>
    </w:p>
    <w:p w14:paraId="2F41BEA1" w14:textId="77777777" w:rsidR="00D5203F" w:rsidRPr="009E1197" w:rsidRDefault="00D5203F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083AFAB6" w14:textId="77777777" w:rsidR="009E1197" w:rsidRPr="00B22E3D" w:rsidRDefault="009E1197" w:rsidP="00D5203F">
      <w:pPr>
        <w:spacing w:before="360" w:after="36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B22E3D">
        <w:rPr>
          <w:rFonts w:ascii="Times New Roman" w:hAnsi="Times New Roman" w:cs="Times New Roman"/>
          <w:b/>
          <w:sz w:val="22"/>
          <w:szCs w:val="22"/>
          <w:u w:val="single"/>
        </w:rPr>
        <w:lastRenderedPageBreak/>
        <w:t>Príloha č. 2 Zmluvy o Dielo  – Harmonogram plnenia</w:t>
      </w:r>
    </w:p>
    <w:p w14:paraId="59B0D1E3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Každý uchádzač vo svojej ponuke predloží detailný harmonogram realizácie diela, ktorý musí spĺňať nasledovné požiadavky:</w:t>
      </w:r>
    </w:p>
    <w:p w14:paraId="6F70CD06" w14:textId="77777777" w:rsidR="009E1197" w:rsidRPr="007E0038" w:rsidRDefault="009E1197" w:rsidP="007E0038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E0038">
        <w:rPr>
          <w:rFonts w:ascii="Times New Roman" w:hAnsi="Times New Roman" w:cs="Times New Roman"/>
          <w:sz w:val="22"/>
          <w:szCs w:val="22"/>
        </w:rPr>
        <w:t xml:space="preserve">maximálna lehota na zhotovenie diela je </w:t>
      </w:r>
      <w:r w:rsidRPr="007E0038">
        <w:rPr>
          <w:rFonts w:ascii="Times New Roman" w:hAnsi="Times New Roman" w:cs="Times New Roman"/>
          <w:b/>
          <w:sz w:val="22"/>
          <w:szCs w:val="22"/>
        </w:rPr>
        <w:t>15 mesiacov</w:t>
      </w:r>
      <w:r w:rsidRPr="007E0038">
        <w:rPr>
          <w:rFonts w:ascii="Times New Roman" w:hAnsi="Times New Roman" w:cs="Times New Roman"/>
          <w:sz w:val="22"/>
          <w:szCs w:val="22"/>
        </w:rPr>
        <w:t xml:space="preserve"> odo dňa nadobudnutia účinnosti Zmluvy o Dielo;</w:t>
      </w:r>
    </w:p>
    <w:p w14:paraId="55765E08" w14:textId="77777777" w:rsidR="009E1197" w:rsidRPr="007E0038" w:rsidRDefault="009E1197" w:rsidP="007E0038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E0038">
        <w:rPr>
          <w:rFonts w:ascii="Times New Roman" w:hAnsi="Times New Roman" w:cs="Times New Roman"/>
          <w:sz w:val="22"/>
          <w:szCs w:val="22"/>
        </w:rPr>
        <w:t>Harmonogram realizácie diela musí zodpovedať lehote na zhotovenie diela, ktorú uchádzač navrhne v rámci návrhu na plnenie kritéria hodnotenia ponúk č. 3 Lehota realizácie diela; a</w:t>
      </w:r>
    </w:p>
    <w:p w14:paraId="390246AD" w14:textId="77777777" w:rsidR="009E1197" w:rsidRPr="007E0038" w:rsidRDefault="009E1197" w:rsidP="007E0038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E0038">
        <w:rPr>
          <w:rFonts w:ascii="Times New Roman" w:hAnsi="Times New Roman" w:cs="Times New Roman"/>
          <w:sz w:val="22"/>
          <w:szCs w:val="22"/>
        </w:rPr>
        <w:t>Harmonogram realizácie diela na úrovni aktivít musí obsahovať minimálne všetky položky (úrovne), ktoré sú uvedené Prílohe č. 3 Zmluvy o Dielo – Rozpočet a rozpis fakturačných míľnikov ako samostatný fakturačný míľnik;</w:t>
      </w:r>
    </w:p>
    <w:p w14:paraId="275E38A9" w14:textId="77777777" w:rsidR="009E1197" w:rsidRPr="007E0038" w:rsidRDefault="009E1197" w:rsidP="007E0038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7E0038">
        <w:rPr>
          <w:rFonts w:ascii="Times New Roman" w:hAnsi="Times New Roman" w:cs="Times New Roman"/>
          <w:sz w:val="22"/>
          <w:szCs w:val="22"/>
        </w:rPr>
        <w:t>Pri spracovaní harmonogramu je Zhotoviteľ povinný zohľadniť zároveň maximálne lehoty na vykonanie plnení potrebných pre dosiahnutie jednotlivých fakturačných míľnikov nasledovne:</w:t>
      </w:r>
    </w:p>
    <w:p w14:paraId="64B06EC1" w14:textId="77777777" w:rsidR="009E1197" w:rsidRPr="009E1197" w:rsidRDefault="009E1197" w:rsidP="007E0038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Splnenie fakturačného míľnika č. 1 do 3 mesiacov odo dňa nadobudnutia účinnosti Zmluvy o Dielo;</w:t>
      </w:r>
    </w:p>
    <w:p w14:paraId="5F95C744" w14:textId="77777777" w:rsidR="009E1197" w:rsidRPr="009E1197" w:rsidRDefault="009E1197" w:rsidP="007E0038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Splnenie fakturačného míľnika č. 2 do 4 mesiacov odo dňa nadobudnutia účinnosti Zmluvy o Dielo;</w:t>
      </w:r>
    </w:p>
    <w:p w14:paraId="100A5DCA" w14:textId="77777777" w:rsidR="009E1197" w:rsidRPr="009E1197" w:rsidRDefault="009E1197" w:rsidP="007E0038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Splnenie fakturačného míľnika č. 3 do 12 mesiacov odo dňa nadobudnutia účinnosti Zmluvy o Dielo;</w:t>
      </w:r>
    </w:p>
    <w:p w14:paraId="78BCB8F0" w14:textId="77777777" w:rsidR="009E1197" w:rsidRPr="009E1197" w:rsidRDefault="009E1197" w:rsidP="007E0038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Splnenie fakturačného míľnika č. 4 do 13 mesiacov odo dňa nadobudnutia účinnosti Zmluvy o Dielo;</w:t>
      </w:r>
    </w:p>
    <w:p w14:paraId="7B0FD5FB" w14:textId="77777777" w:rsidR="009E1197" w:rsidRPr="009E1197" w:rsidRDefault="009E1197" w:rsidP="007E0038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Splnenie fakturačného míľnika č. 5 do 14 mesiacov odo dňa nadobudnutia účinnosti Zmluvy o Dielo;</w:t>
      </w:r>
    </w:p>
    <w:p w14:paraId="2990F5B2" w14:textId="77777777" w:rsidR="009E1197" w:rsidRPr="009E1197" w:rsidRDefault="009E1197" w:rsidP="007E0038">
      <w:pPr>
        <w:pStyle w:val="ListParagraph"/>
        <w:numPr>
          <w:ilvl w:val="4"/>
          <w:numId w:val="14"/>
        </w:numPr>
        <w:tabs>
          <w:tab w:val="clear" w:pos="1800"/>
        </w:tabs>
        <w:spacing w:before="240" w:after="240"/>
        <w:ind w:left="1418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Splnenie fakturačného míľnika č. 7 do 15 mesiacov odo dňa nadobudnutia účinnosti Zmluvy o Dielo.</w:t>
      </w:r>
    </w:p>
    <w:p w14:paraId="392E7CB7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47734428" w14:textId="77777777" w:rsidR="009E1197" w:rsidRPr="00D5203F" w:rsidRDefault="009E1197" w:rsidP="00D5203F">
      <w:pPr>
        <w:spacing w:before="360" w:after="36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B22E3D">
        <w:rPr>
          <w:rFonts w:ascii="Times New Roman" w:hAnsi="Times New Roman" w:cs="Times New Roman"/>
          <w:b/>
          <w:sz w:val="22"/>
          <w:szCs w:val="22"/>
          <w:u w:val="single"/>
        </w:rPr>
        <w:t>Príloha č. 3 Zmluvy o Dielo – Rozpočet a rozpis fakturačných míľnikov</w:t>
      </w:r>
    </w:p>
    <w:p w14:paraId="2C0A9DE8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Každý uchádzač vo svojej ponuke predloží vyplnenú tabuľku Príloha č. 3 Zmluvy o Dielo – Rozpočet a rozpis fakturačných míľnikov podľa vzoru, ktorý tvorí súčasť Zmluvy o Dielo ako Príloha č. 3 Zmluvy o Dielo – Rozpočet a rozpis fakturačných míľnikov.</w:t>
      </w:r>
    </w:p>
    <w:p w14:paraId="2E588BEC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Uchádzač do tabuľky v rámci Prílohy č. 3 Zmluvy o Dielo – Rozpočet a rozpis fakturačných míľnikov vpisuje výlučne údaje do polí označených žltou farbou. Ostatné polia tabuľky uchádzač nemení a nedopĺňa.</w:t>
      </w:r>
    </w:p>
    <w:p w14:paraId="15FCB0E2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Pri spracovaní cien v rámci rozpočtu je Zhotoviteľ povinný dodržať nasledovné obmedzenia rozsahu ceny, ktorú môže uviesť za splnenie vybraných fakturačných míľnikov nasledovne:</w:t>
      </w:r>
    </w:p>
    <w:p w14:paraId="1A1A80E8" w14:textId="77777777" w:rsidR="009E1197" w:rsidRPr="009E1197" w:rsidRDefault="009E1197" w:rsidP="007E0038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lastRenderedPageBreak/>
        <w:t>Za splnenie fakturačného míľnika č. 1 nesmie cena presiahnuť 27 % celkovej Ceny za Dielo;</w:t>
      </w:r>
    </w:p>
    <w:p w14:paraId="05CFFD9B" w14:textId="77777777" w:rsidR="009E1197" w:rsidRPr="009E1197" w:rsidRDefault="009E1197" w:rsidP="007E0038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Za splnenie fakturačného míľnika č. 5 nesmie cena presiahnuť 70 % celkovej Ceny za Dielo;</w:t>
      </w:r>
    </w:p>
    <w:p w14:paraId="1740D510" w14:textId="77777777" w:rsidR="009E1197" w:rsidRPr="009E1197" w:rsidRDefault="009E1197" w:rsidP="007E0038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Za splnenie fakturačného míľnika č. 6 nesmie cena presiahnuť 3 % celkovej Ceny za Dielo;</w:t>
      </w:r>
    </w:p>
    <w:p w14:paraId="2D3A91AB" w14:textId="77777777" w:rsidR="009E1197" w:rsidRPr="009E1197" w:rsidRDefault="009E1197" w:rsidP="007E0038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Za splnenie fakturačného míľnika č. 7 nesmie cena presiahnuť 13 % celkovej Ceny za Dielo;</w:t>
      </w:r>
    </w:p>
    <w:p w14:paraId="3AF31235" w14:textId="77777777" w:rsidR="007E0038" w:rsidRDefault="007E0038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1A0E40DD" w14:textId="77777777" w:rsidR="009E1197" w:rsidRPr="00B22E3D" w:rsidRDefault="009E1197" w:rsidP="00D5203F">
      <w:pPr>
        <w:spacing w:before="360" w:after="36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B22E3D">
        <w:rPr>
          <w:rFonts w:ascii="Times New Roman" w:hAnsi="Times New Roman" w:cs="Times New Roman"/>
          <w:b/>
          <w:sz w:val="22"/>
          <w:szCs w:val="22"/>
          <w:u w:val="single"/>
        </w:rPr>
        <w:t>Príloha č. 4 Zmluvy o Dielo – Ponuka Zhotoviteľa</w:t>
      </w:r>
    </w:p>
    <w:p w14:paraId="2FDB2E4F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Prílohu č. 4 Zmluvy o Dielo – Ponuka Zhotoviteľa vypracuje a predloží v nasledovnej štruktúre a podľa nasledovných požiadaviek.</w:t>
      </w:r>
    </w:p>
    <w:p w14:paraId="068C663E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Príloha č. 4 Zmluvy o Dielo – Ponuka Zhotoviteľa bude obsahovať minimálne nasledovné časti:</w:t>
      </w:r>
    </w:p>
    <w:p w14:paraId="533B0E52" w14:textId="77777777" w:rsidR="009E1197" w:rsidRPr="009E1197" w:rsidRDefault="009E1197" w:rsidP="007E0038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Technický návrh riešenia Diela;</w:t>
      </w:r>
    </w:p>
    <w:p w14:paraId="1BA149AA" w14:textId="77777777" w:rsidR="009E1197" w:rsidRPr="009E1197" w:rsidRDefault="009E1197" w:rsidP="007E0038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Vyplnený katalóg požiadaviek; a</w:t>
      </w:r>
    </w:p>
    <w:p w14:paraId="1593CB7D" w14:textId="77777777" w:rsidR="009E1197" w:rsidRPr="009E1197" w:rsidRDefault="009E1197" w:rsidP="007E0038">
      <w:pPr>
        <w:pStyle w:val="ListParagraph"/>
        <w:numPr>
          <w:ilvl w:val="3"/>
          <w:numId w:val="14"/>
        </w:numPr>
        <w:tabs>
          <w:tab w:val="clear" w:pos="1440"/>
        </w:tabs>
        <w:spacing w:before="240" w:after="240"/>
        <w:ind w:left="851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Špecifikácia SW 3. strán.</w:t>
      </w:r>
    </w:p>
    <w:p w14:paraId="61F22DE2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Z údajov uvedených v Prílohe č. 4 Zmluvy o Dielo – Ponuka Zhotoviteľa musí vyplývať preukázanie splnenia všetkých požiadaviek na dielo (predmet zákazky) stanovených v Súťažných podkladoch.</w:t>
      </w:r>
    </w:p>
    <w:p w14:paraId="22D72F24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Verejný obstarávateľ požaduje predloženie Prílohy č. 4 Zmluvy o Dielo – Ponuka Zhotoviteľa za účelom vyhodnotenia, či ponuka uchádzača spĺňa požiadavky Verejného obstarávateľa definované v Súťažných podkladoch na predmet Zákazky.</w:t>
      </w:r>
    </w:p>
    <w:p w14:paraId="34382B1B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Požiadavky na predmet diela sú stanovené v Prílohe č. 1 Zmluvy o Dielo prípadne samotnom texte Zmluvy o Dielo. Uchádzač pripraví technický Prílohu č. 4 Zmluvy o Dielo – Ponuka Zhotoviteľa v súlade s týmito požiadavkami.</w:t>
      </w:r>
    </w:p>
    <w:p w14:paraId="69DA7908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 xml:space="preserve">V rámci Prílohy č. 4 Zmluvy o Dielo – Ponuka Zhotoviteľa uchádzač vypracuje a predloží nasledovné dokumenty: </w:t>
      </w:r>
    </w:p>
    <w:p w14:paraId="7D621A05" w14:textId="77777777" w:rsidR="009E1197" w:rsidRPr="007E0038" w:rsidRDefault="009E1197" w:rsidP="009E1197">
      <w:pPr>
        <w:spacing w:after="2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E0038">
        <w:rPr>
          <w:rFonts w:ascii="Times New Roman" w:hAnsi="Times New Roman" w:cs="Times New Roman"/>
          <w:b/>
          <w:sz w:val="22"/>
          <w:szCs w:val="22"/>
        </w:rPr>
        <w:t>1</w:t>
      </w:r>
      <w:r w:rsidRPr="007E0038">
        <w:rPr>
          <w:rFonts w:ascii="Times New Roman" w:hAnsi="Times New Roman" w:cs="Times New Roman"/>
          <w:b/>
          <w:sz w:val="22"/>
          <w:szCs w:val="22"/>
        </w:rPr>
        <w:tab/>
        <w:t>Technický popis navrhovaného riešenia minimálne v nasledovnej štruktúre:</w:t>
      </w:r>
    </w:p>
    <w:p w14:paraId="378D2428" w14:textId="77777777" w:rsidR="009E1197" w:rsidRPr="007E0038" w:rsidRDefault="009E1197" w:rsidP="00121517">
      <w:pPr>
        <w:spacing w:after="240"/>
        <w:ind w:left="1276" w:hanging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E0038">
        <w:rPr>
          <w:rFonts w:ascii="Times New Roman" w:hAnsi="Times New Roman" w:cs="Times New Roman"/>
          <w:b/>
          <w:sz w:val="22"/>
          <w:szCs w:val="22"/>
        </w:rPr>
        <w:t>1.1</w:t>
      </w:r>
      <w:r w:rsidRPr="007E0038">
        <w:rPr>
          <w:rFonts w:ascii="Times New Roman" w:hAnsi="Times New Roman" w:cs="Times New Roman"/>
          <w:b/>
          <w:sz w:val="22"/>
          <w:szCs w:val="22"/>
        </w:rPr>
        <w:tab/>
        <w:t xml:space="preserve">Architektúra </w:t>
      </w:r>
    </w:p>
    <w:p w14:paraId="3CB0F390" w14:textId="77777777" w:rsidR="009E1197" w:rsidRPr="007E0038" w:rsidRDefault="009E1197" w:rsidP="00121517">
      <w:pPr>
        <w:spacing w:after="240"/>
        <w:ind w:left="1276" w:hanging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E0038">
        <w:rPr>
          <w:rFonts w:ascii="Times New Roman" w:hAnsi="Times New Roman" w:cs="Times New Roman"/>
          <w:b/>
          <w:sz w:val="22"/>
          <w:szCs w:val="22"/>
        </w:rPr>
        <w:t>1.1.1</w:t>
      </w:r>
      <w:r w:rsidRPr="007E0038">
        <w:rPr>
          <w:rFonts w:ascii="Times New Roman" w:hAnsi="Times New Roman" w:cs="Times New Roman"/>
          <w:b/>
          <w:sz w:val="22"/>
          <w:szCs w:val="22"/>
        </w:rPr>
        <w:tab/>
        <w:t xml:space="preserve">Biznis architektúra (dodávaného diela) </w:t>
      </w:r>
    </w:p>
    <w:p w14:paraId="6B7CBDC4" w14:textId="77777777" w:rsidR="009E1197" w:rsidRPr="009E1197" w:rsidRDefault="009E1197" w:rsidP="00121517">
      <w:pPr>
        <w:spacing w:after="240"/>
        <w:ind w:left="1560" w:hanging="284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  <w:t>High-level (HL) popis biznis architektúry (+ nákres),</w:t>
      </w:r>
    </w:p>
    <w:p w14:paraId="2B88FBF8" w14:textId="77777777" w:rsidR="009E1197" w:rsidRPr="009E1197" w:rsidRDefault="009E1197" w:rsidP="00121517">
      <w:pPr>
        <w:spacing w:after="240"/>
        <w:ind w:left="1560" w:hanging="284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  <w:t>identifikácia základných procesov,</w:t>
      </w:r>
    </w:p>
    <w:p w14:paraId="413724FF" w14:textId="77777777" w:rsidR="009E1197" w:rsidRPr="009E1197" w:rsidRDefault="009E1197" w:rsidP="00121517">
      <w:pPr>
        <w:spacing w:after="240"/>
        <w:ind w:left="1560" w:hanging="284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  <w:t>identifikácia koncových užívateľov a ich interakcia.</w:t>
      </w:r>
    </w:p>
    <w:p w14:paraId="7B93248C" w14:textId="77777777" w:rsidR="009E1197" w:rsidRPr="007E0038" w:rsidRDefault="009E1197" w:rsidP="00121517">
      <w:pPr>
        <w:spacing w:after="240"/>
        <w:ind w:left="1276" w:hanging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E0038">
        <w:rPr>
          <w:rFonts w:ascii="Times New Roman" w:hAnsi="Times New Roman" w:cs="Times New Roman"/>
          <w:b/>
          <w:sz w:val="22"/>
          <w:szCs w:val="22"/>
        </w:rPr>
        <w:t>1.1.2</w:t>
      </w:r>
      <w:r w:rsidRPr="007E0038">
        <w:rPr>
          <w:rFonts w:ascii="Times New Roman" w:hAnsi="Times New Roman" w:cs="Times New Roman"/>
          <w:b/>
          <w:sz w:val="22"/>
          <w:szCs w:val="22"/>
        </w:rPr>
        <w:tab/>
        <w:t>Aplikačná architektúra (dodávaného diela)</w:t>
      </w:r>
    </w:p>
    <w:p w14:paraId="56EE0DDD" w14:textId="77777777" w:rsidR="009E1197" w:rsidRPr="009E1197" w:rsidRDefault="009E1197" w:rsidP="00121517">
      <w:pPr>
        <w:spacing w:after="240"/>
        <w:ind w:left="1560" w:hanging="284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lastRenderedPageBreak/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  <w:t>High-level (HL) popis aplikačnej architektúry, vrátane návrhu integrácií (interných a externých) a dátovej vrstvy (+ nákres),</w:t>
      </w:r>
    </w:p>
    <w:p w14:paraId="0596ACA2" w14:textId="77777777" w:rsidR="009E1197" w:rsidRPr="009E1197" w:rsidRDefault="009E1197" w:rsidP="00121517">
      <w:pPr>
        <w:spacing w:after="240"/>
        <w:ind w:left="1560" w:hanging="284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  <w:t>spôsob a forma internej integrácie a komunikácie aplikačných komponentov (+ nákres),</w:t>
      </w:r>
    </w:p>
    <w:p w14:paraId="00697210" w14:textId="77777777" w:rsidR="009E1197" w:rsidRPr="009E1197" w:rsidRDefault="009E1197" w:rsidP="00121517">
      <w:pPr>
        <w:spacing w:after="240"/>
        <w:ind w:left="1560" w:hanging="284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  <w:t>podporné nástroje/komponenty riešenia.</w:t>
      </w:r>
    </w:p>
    <w:p w14:paraId="68496D8F" w14:textId="77777777" w:rsidR="009E1197" w:rsidRPr="007E0038" w:rsidRDefault="009E1197" w:rsidP="00121517">
      <w:pPr>
        <w:spacing w:after="240"/>
        <w:ind w:left="1276" w:hanging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E0038">
        <w:rPr>
          <w:rFonts w:ascii="Times New Roman" w:hAnsi="Times New Roman" w:cs="Times New Roman"/>
          <w:b/>
          <w:sz w:val="22"/>
          <w:szCs w:val="22"/>
        </w:rPr>
        <w:t>1.1.3</w:t>
      </w:r>
      <w:r w:rsidRPr="007E0038">
        <w:rPr>
          <w:rFonts w:ascii="Times New Roman" w:hAnsi="Times New Roman" w:cs="Times New Roman"/>
          <w:b/>
          <w:sz w:val="22"/>
          <w:szCs w:val="22"/>
        </w:rPr>
        <w:tab/>
        <w:t>Technologická architektúra (dodávaného diela)</w:t>
      </w:r>
    </w:p>
    <w:p w14:paraId="63FCE50F" w14:textId="77777777" w:rsidR="009E1197" w:rsidRPr="009E1197" w:rsidRDefault="009E1197" w:rsidP="00121517">
      <w:pPr>
        <w:spacing w:after="240"/>
        <w:ind w:left="1560" w:hanging="284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  <w:t>High-level (HL) popis technologickej architektúry (+ nákres),</w:t>
      </w:r>
    </w:p>
    <w:p w14:paraId="77EC5E11" w14:textId="77777777" w:rsidR="009E1197" w:rsidRPr="009E1197" w:rsidRDefault="009E1197" w:rsidP="00121517">
      <w:pPr>
        <w:spacing w:after="240"/>
        <w:ind w:left="1560" w:hanging="284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  <w:t>návrh využitých technológií a platforiem,</w:t>
      </w:r>
    </w:p>
    <w:p w14:paraId="41E1A86A" w14:textId="77777777" w:rsidR="009E1197" w:rsidRPr="009E1197" w:rsidRDefault="009E1197" w:rsidP="00121517">
      <w:pPr>
        <w:spacing w:after="240"/>
        <w:ind w:left="1560" w:hanging="284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  <w:t>predpokladaný sizing technologickej infraštruktúry (členený podľa prostredí),</w:t>
      </w:r>
    </w:p>
    <w:p w14:paraId="0906B644" w14:textId="77777777" w:rsidR="009E1197" w:rsidRPr="009E1197" w:rsidRDefault="009E1197" w:rsidP="00121517">
      <w:pPr>
        <w:spacing w:after="240"/>
        <w:ind w:left="1560" w:hanging="284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  <w:t>požiadavky na súčinnosť objednávateľa so zabezpečením kontajnerizácie a virtualizácie (platformy, škálovanie).</w:t>
      </w:r>
    </w:p>
    <w:p w14:paraId="618AF451" w14:textId="77777777" w:rsidR="009E1197" w:rsidRPr="009E1197" w:rsidRDefault="009E1197" w:rsidP="00121517">
      <w:pPr>
        <w:spacing w:after="240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 xml:space="preserve">Rozsah jednotlivých kapitol musí podrobne popisovať plánované technické riešenie dodávky diela v zmysle požiadaviek uvedených v Prílohe č. 1 Zmluvy o Dielo, vrátane </w:t>
      </w:r>
    </w:p>
    <w:p w14:paraId="2ACBA84F" w14:textId="77777777" w:rsidR="009E1197" w:rsidRPr="009E1197" w:rsidRDefault="009E1197" w:rsidP="00121517">
      <w:pPr>
        <w:spacing w:after="240"/>
        <w:ind w:left="1134" w:hanging="425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  <w:t xml:space="preserve">návrhu procesov; </w:t>
      </w:r>
    </w:p>
    <w:p w14:paraId="6204B337" w14:textId="77777777" w:rsidR="009E1197" w:rsidRPr="009E1197" w:rsidRDefault="009E1197" w:rsidP="00121517">
      <w:pPr>
        <w:spacing w:after="240"/>
        <w:ind w:left="1134" w:hanging="425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  <w:t>jednotlivých vrstiev systémovej architektúry ;</w:t>
      </w:r>
    </w:p>
    <w:p w14:paraId="695C40FC" w14:textId="77777777" w:rsidR="009E1197" w:rsidRPr="009E1197" w:rsidRDefault="009E1197" w:rsidP="00121517">
      <w:pPr>
        <w:spacing w:after="240"/>
        <w:ind w:left="1134" w:hanging="425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  <w:t xml:space="preserve">vizualizácie; </w:t>
      </w:r>
    </w:p>
    <w:p w14:paraId="1335F4FE" w14:textId="77777777" w:rsidR="009E1197" w:rsidRPr="009E1197" w:rsidRDefault="009E1197" w:rsidP="00121517">
      <w:pPr>
        <w:spacing w:after="240"/>
        <w:ind w:left="1134" w:hanging="425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  <w:t xml:space="preserve">plánovaných technologických platforiem a aplikácií; a </w:t>
      </w:r>
    </w:p>
    <w:p w14:paraId="180467E7" w14:textId="77777777" w:rsidR="009E1197" w:rsidRPr="009E1197" w:rsidRDefault="009E1197" w:rsidP="00121517">
      <w:pPr>
        <w:spacing w:after="240"/>
        <w:ind w:left="1134" w:hanging="425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  <w:t>návrhu riešenia interných a externých integrácií.</w:t>
      </w:r>
    </w:p>
    <w:p w14:paraId="2BDAD27C" w14:textId="59698ABB" w:rsidR="005503EC" w:rsidRPr="005503EC" w:rsidRDefault="005503EC" w:rsidP="005503EC">
      <w:pPr>
        <w:spacing w:after="240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5503EC">
        <w:rPr>
          <w:rFonts w:ascii="Times New Roman" w:hAnsi="Times New Roman" w:cs="Times New Roman"/>
          <w:sz w:val="22"/>
          <w:szCs w:val="22"/>
        </w:rPr>
        <w:t>Z technického návrhu riešenia musí zároveň vyplývať splnenie všetkých požiadaviek definovaných v časti Prílohy č. 1 Zmluvy o Dielo označenej ako „</w:t>
      </w:r>
      <w:r w:rsidR="001C53EC">
        <w:rPr>
          <w:rFonts w:ascii="Times New Roman" w:hAnsi="Times New Roman" w:cs="Times New Roman"/>
          <w:sz w:val="22"/>
          <w:szCs w:val="22"/>
        </w:rPr>
        <w:t>K</w:t>
      </w:r>
      <w:r w:rsidRPr="005503EC">
        <w:rPr>
          <w:rFonts w:ascii="Times New Roman" w:hAnsi="Times New Roman" w:cs="Times New Roman"/>
          <w:sz w:val="22"/>
          <w:szCs w:val="22"/>
        </w:rPr>
        <w:t>atalóg požiadaviek“.</w:t>
      </w:r>
    </w:p>
    <w:p w14:paraId="7C12C229" w14:textId="4B4A8C46" w:rsidR="009E1197" w:rsidRPr="007E0038" w:rsidRDefault="009E1197" w:rsidP="009E1197">
      <w:pPr>
        <w:spacing w:after="2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E0038">
        <w:rPr>
          <w:rFonts w:ascii="Times New Roman" w:hAnsi="Times New Roman" w:cs="Times New Roman"/>
          <w:b/>
          <w:sz w:val="22"/>
          <w:szCs w:val="22"/>
        </w:rPr>
        <w:t>2</w:t>
      </w:r>
      <w:r w:rsidRPr="007E0038">
        <w:rPr>
          <w:rFonts w:ascii="Times New Roman" w:hAnsi="Times New Roman" w:cs="Times New Roman"/>
          <w:b/>
          <w:sz w:val="22"/>
          <w:szCs w:val="22"/>
        </w:rPr>
        <w:tab/>
        <w:t>Vyplnený katalóg požiadaviek:</w:t>
      </w:r>
    </w:p>
    <w:p w14:paraId="76AF9667" w14:textId="77777777" w:rsidR="009E1197" w:rsidRPr="009E1197" w:rsidRDefault="009E1197" w:rsidP="00121517">
      <w:pPr>
        <w:spacing w:after="240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 xml:space="preserve">Ako súčasť špecifikácie predmetu zákazky a Prílohy č. 1 Zmluvy o Dielo verejný obstarávateľ uverejnil prílohu v súbore MS Excel označenú ako „Katalóg požiadaviek“. V katalógu požiadaviek sú definované funkčné, nefunkčné a technické požiadavky na predmet diela. </w:t>
      </w:r>
    </w:p>
    <w:p w14:paraId="4929E2D5" w14:textId="5E1F5405" w:rsidR="009E1197" w:rsidRDefault="009E1197" w:rsidP="00121517">
      <w:pPr>
        <w:spacing w:after="240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 xml:space="preserve">Verejný obstarávateľ upozorňuje, že pre účely predloženia ponuky a preukázania splnenia požiadaviek na predmet zákazky nebude postačovať ak uchádzač v rámci </w:t>
      </w:r>
      <w:r w:rsidR="00BE7EB4">
        <w:rPr>
          <w:rFonts w:ascii="Times New Roman" w:hAnsi="Times New Roman" w:cs="Times New Roman"/>
          <w:sz w:val="22"/>
          <w:szCs w:val="22"/>
        </w:rPr>
        <w:t>ponuky</w:t>
      </w:r>
      <w:r w:rsidRPr="009E1197">
        <w:rPr>
          <w:rFonts w:ascii="Times New Roman" w:hAnsi="Times New Roman" w:cs="Times New Roman"/>
          <w:sz w:val="22"/>
          <w:szCs w:val="22"/>
        </w:rPr>
        <w:t xml:space="preserve"> </w:t>
      </w:r>
      <w:r w:rsidR="001C53EC">
        <w:rPr>
          <w:rFonts w:ascii="Times New Roman" w:hAnsi="Times New Roman" w:cs="Times New Roman"/>
          <w:sz w:val="22"/>
          <w:szCs w:val="22"/>
        </w:rPr>
        <w:t xml:space="preserve">(v rámci Technického popisu navrhovaného riešenia) </w:t>
      </w:r>
      <w:r w:rsidRPr="009E1197">
        <w:rPr>
          <w:rFonts w:ascii="Times New Roman" w:hAnsi="Times New Roman" w:cs="Times New Roman"/>
          <w:sz w:val="22"/>
          <w:szCs w:val="22"/>
        </w:rPr>
        <w:t>uvedie že návrh riešenia uchádzača danú požiadavku iba spĺňa, resp. že ju uchádzač splní, resp. iné obdobné jednoduché a strohé konštatovanie bez uvedenia spôsobu naplnenia požadovaných minimálnych požiadaviek. Rovnako nebude postačovať ani skopírovanie textu samotnej požiadavky.</w:t>
      </w:r>
    </w:p>
    <w:p w14:paraId="66EFD121" w14:textId="52DD6203" w:rsidR="009E1197" w:rsidRDefault="001C53EC" w:rsidP="00121517">
      <w:pPr>
        <w:spacing w:after="240"/>
        <w:ind w:left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Vo vzťahu k spôsobu vyplnenia katalógu požiadaviek uchádzač v ponuke vyplní stĺpec </w:t>
      </w:r>
      <w:r w:rsidR="006358DD">
        <w:rPr>
          <w:rFonts w:ascii="Times New Roman" w:hAnsi="Times New Roman" w:cs="Times New Roman"/>
          <w:sz w:val="22"/>
          <w:szCs w:val="22"/>
        </w:rPr>
        <w:t>U</w:t>
      </w:r>
      <w:r w:rsidR="009E1197" w:rsidRPr="009E1197">
        <w:rPr>
          <w:rFonts w:ascii="Times New Roman" w:hAnsi="Times New Roman" w:cs="Times New Roman"/>
          <w:sz w:val="22"/>
          <w:szCs w:val="22"/>
        </w:rPr>
        <w:t xml:space="preserve"> v katalógu požiadaviek</w:t>
      </w:r>
      <w:r>
        <w:rPr>
          <w:rFonts w:ascii="Times New Roman" w:hAnsi="Times New Roman" w:cs="Times New Roman"/>
          <w:sz w:val="22"/>
          <w:szCs w:val="22"/>
        </w:rPr>
        <w:t>, pričom ho</w:t>
      </w:r>
      <w:r w:rsidR="009E1197" w:rsidRPr="009E1197">
        <w:rPr>
          <w:rFonts w:ascii="Times New Roman" w:hAnsi="Times New Roman" w:cs="Times New Roman"/>
          <w:sz w:val="22"/>
          <w:szCs w:val="22"/>
        </w:rPr>
        <w:t xml:space="preserve"> uchádzač vyplní formou odkazu na časť Prílohy č. 4 Zmluvy o Dielo – Ponuka Zhotoviteľa - Technický popis navrhovaného riešenia s odkazom na časť Technického </w:t>
      </w:r>
      <w:r w:rsidR="009E1197" w:rsidRPr="009E1197">
        <w:rPr>
          <w:rFonts w:ascii="Times New Roman" w:hAnsi="Times New Roman" w:cs="Times New Roman"/>
          <w:sz w:val="22"/>
          <w:szCs w:val="22"/>
        </w:rPr>
        <w:lastRenderedPageBreak/>
        <w:t>popisu navrhovaného riešenia, v ktorej sa bude nachádzať informácia o tom, ako navrhované riešenie spĺňa danú požiadavku.</w:t>
      </w:r>
    </w:p>
    <w:p w14:paraId="1205EA9A" w14:textId="608AA59E" w:rsidR="001C53EC" w:rsidRDefault="001C53EC" w:rsidP="00121517">
      <w:pPr>
        <w:spacing w:after="240"/>
        <w:ind w:left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V stĺpci V </w:t>
      </w:r>
      <w:r w:rsidRPr="009E1197">
        <w:rPr>
          <w:rFonts w:ascii="Times New Roman" w:hAnsi="Times New Roman" w:cs="Times New Roman"/>
          <w:sz w:val="22"/>
          <w:szCs w:val="22"/>
        </w:rPr>
        <w:t>katalógu požiadaviek</w:t>
      </w:r>
      <w:r>
        <w:rPr>
          <w:rFonts w:ascii="Times New Roman" w:hAnsi="Times New Roman" w:cs="Times New Roman"/>
          <w:sz w:val="22"/>
          <w:szCs w:val="22"/>
        </w:rPr>
        <w:t xml:space="preserve"> môže uchádzač doplniť prípadné poznámky.</w:t>
      </w:r>
    </w:p>
    <w:p w14:paraId="420083C7" w14:textId="331225F4" w:rsidR="001C53EC" w:rsidRPr="009E1197" w:rsidRDefault="001C53EC" w:rsidP="00121517">
      <w:pPr>
        <w:spacing w:after="240"/>
        <w:ind w:left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Stĺpec T katalógu požiadaviek uchádzač nevypĺňa.</w:t>
      </w:r>
    </w:p>
    <w:p w14:paraId="1936D155" w14:textId="77777777" w:rsidR="009E1197" w:rsidRPr="009E1197" w:rsidRDefault="009E1197" w:rsidP="00121517">
      <w:pPr>
        <w:spacing w:after="240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Verejný obstarávateľ bude pri vyhodnocovaní technického návrhu diela postupovať porovnaním s požiadavkami na predmet zákazky definovanými v súťažných podkladoch, spôsobom „SPLNIL – NESPLNIL“.</w:t>
      </w:r>
      <w:bookmarkStart w:id="0" w:name="_GoBack"/>
      <w:bookmarkEnd w:id="0"/>
    </w:p>
    <w:p w14:paraId="67096465" w14:textId="77777777" w:rsidR="009E1197" w:rsidRPr="007E0038" w:rsidRDefault="009E1197" w:rsidP="009E1197">
      <w:pPr>
        <w:spacing w:after="2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E0038">
        <w:rPr>
          <w:rFonts w:ascii="Times New Roman" w:hAnsi="Times New Roman" w:cs="Times New Roman"/>
          <w:b/>
          <w:sz w:val="22"/>
          <w:szCs w:val="22"/>
        </w:rPr>
        <w:t>3</w:t>
      </w:r>
      <w:r w:rsidRPr="007E0038">
        <w:rPr>
          <w:rFonts w:ascii="Times New Roman" w:hAnsi="Times New Roman" w:cs="Times New Roman"/>
          <w:b/>
          <w:sz w:val="22"/>
          <w:szCs w:val="22"/>
        </w:rPr>
        <w:tab/>
        <w:t>Špecifikácia SW 3. strán</w:t>
      </w:r>
    </w:p>
    <w:p w14:paraId="6E5D7192" w14:textId="77777777" w:rsidR="009E1197" w:rsidRPr="009E1197" w:rsidRDefault="009E1197" w:rsidP="00121517">
      <w:pPr>
        <w:spacing w:after="240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 xml:space="preserve">Verejný obstarávateľ požaduje, aby uchádzač ako súčasť Prílohy č. 4 Zmluvy o Dielo – Ponuka Zhotoviteľa predložil aj podrobný popis SW 3. Strán v členení na </w:t>
      </w:r>
    </w:p>
    <w:p w14:paraId="11DAEA0C" w14:textId="77777777" w:rsidR="009E1197" w:rsidRPr="009E1197" w:rsidRDefault="00121517" w:rsidP="00121517">
      <w:pPr>
        <w:spacing w:after="240"/>
        <w:ind w:left="1134" w:hanging="425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</w:r>
      <w:r w:rsidR="009E1197" w:rsidRPr="009E1197">
        <w:rPr>
          <w:rFonts w:ascii="Times New Roman" w:hAnsi="Times New Roman" w:cs="Times New Roman"/>
          <w:sz w:val="22"/>
          <w:szCs w:val="22"/>
        </w:rPr>
        <w:t>Preexistentný obchodne dostupný proprietárny SW,</w:t>
      </w:r>
    </w:p>
    <w:p w14:paraId="16519984" w14:textId="77777777" w:rsidR="009E1197" w:rsidRPr="009E1197" w:rsidRDefault="00121517" w:rsidP="00121517">
      <w:pPr>
        <w:spacing w:after="240"/>
        <w:ind w:left="1134" w:hanging="425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</w:r>
      <w:r w:rsidR="009E1197" w:rsidRPr="009E1197">
        <w:rPr>
          <w:rFonts w:ascii="Times New Roman" w:hAnsi="Times New Roman" w:cs="Times New Roman"/>
          <w:sz w:val="22"/>
          <w:szCs w:val="22"/>
        </w:rPr>
        <w:t>Preexistentný obchodne nedostupný proprietárny SW,</w:t>
      </w:r>
    </w:p>
    <w:p w14:paraId="537B178C" w14:textId="77777777" w:rsidR="009E1197" w:rsidRPr="009E1197" w:rsidRDefault="00121517" w:rsidP="00121517">
      <w:pPr>
        <w:spacing w:after="240"/>
        <w:ind w:left="1134" w:hanging="425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•</w:t>
      </w:r>
      <w:r w:rsidRPr="009E1197">
        <w:rPr>
          <w:rFonts w:ascii="Times New Roman" w:hAnsi="Times New Roman" w:cs="Times New Roman"/>
          <w:sz w:val="22"/>
          <w:szCs w:val="22"/>
        </w:rPr>
        <w:tab/>
      </w:r>
      <w:r w:rsidR="009E1197" w:rsidRPr="009E1197">
        <w:rPr>
          <w:rFonts w:ascii="Times New Roman" w:hAnsi="Times New Roman" w:cs="Times New Roman"/>
          <w:sz w:val="22"/>
          <w:szCs w:val="22"/>
        </w:rPr>
        <w:t>Preexistentný open source SW</w:t>
      </w:r>
    </w:p>
    <w:p w14:paraId="34433159" w14:textId="77777777" w:rsidR="009E1197" w:rsidRPr="009E1197" w:rsidRDefault="009E1197" w:rsidP="00121517">
      <w:pPr>
        <w:spacing w:after="240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(ako sú tieto definované v Zmluve o Dielo).</w:t>
      </w:r>
    </w:p>
    <w:p w14:paraId="10C8F4DB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08664104" w14:textId="77777777" w:rsidR="009E1197" w:rsidRPr="00121517" w:rsidRDefault="009E1197" w:rsidP="00D5203F">
      <w:pPr>
        <w:spacing w:before="360" w:after="36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121517">
        <w:rPr>
          <w:rFonts w:ascii="Times New Roman" w:hAnsi="Times New Roman" w:cs="Times New Roman"/>
          <w:b/>
          <w:sz w:val="22"/>
          <w:szCs w:val="22"/>
          <w:u w:val="single"/>
        </w:rPr>
        <w:t xml:space="preserve">Príloha č. 8 SLA Zmluvy – Špecifikácia ceny </w:t>
      </w:r>
    </w:p>
    <w:p w14:paraId="55D8E68E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Každý uchádzač vo svojej ponuke predloží vyplnenú tabuľku Príl Príloha č. 8 SLA Zmluvy – Špecifikácia ceny  podľa vzoru, ktorý tvorí súčasť Zmluvy o Dielo ako Príloha č. 8 SLA Zmluvy – Špecifikácia ceny.</w:t>
      </w:r>
    </w:p>
    <w:p w14:paraId="7D11C6F3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9E1197">
        <w:rPr>
          <w:rFonts w:ascii="Times New Roman" w:hAnsi="Times New Roman" w:cs="Times New Roman"/>
          <w:sz w:val="22"/>
          <w:szCs w:val="22"/>
        </w:rPr>
        <w:t>Uchádzač do tabuľky v rámci Prílohy č. 8 SLA Zmluvy – Špecifikácia ceny vpisuje výlučne údaje do polí označených žltou farbou. Ostatné polia tabuľky uchádzač nemení a nedopĺňa.</w:t>
      </w:r>
    </w:p>
    <w:p w14:paraId="2E0A51AA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5CEBA41F" w14:textId="77777777" w:rsidR="009E1197" w:rsidRPr="009E1197" w:rsidRDefault="009E1197" w:rsidP="009E1197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sectPr w:rsidR="009E1197" w:rsidRPr="009E1197" w:rsidSect="00474D69">
      <w:footerReference w:type="even" r:id="rId8"/>
      <w:footerReference w:type="default" r:id="rId9"/>
      <w:pgSz w:w="11906" w:h="16838"/>
      <w:pgMar w:top="2269" w:right="1200" w:bottom="1693" w:left="1293" w:header="0" w:footer="1117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24515" w14:textId="77777777" w:rsidR="00D83B97" w:rsidRDefault="00D83B97">
      <w:r>
        <w:separator/>
      </w:r>
    </w:p>
  </w:endnote>
  <w:endnote w:type="continuationSeparator" w:id="0">
    <w:p w14:paraId="41281133" w14:textId="77777777" w:rsidR="00D83B97" w:rsidRDefault="00D83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9171286"/>
      <w:docPartObj>
        <w:docPartGallery w:val="Page Numbers (Bottom of Page)"/>
        <w:docPartUnique/>
      </w:docPartObj>
    </w:sdtPr>
    <w:sdtEndPr/>
    <w:sdtContent>
      <w:sdt>
        <w:sdtPr>
          <w:id w:val="1200899894"/>
          <w:docPartObj>
            <w:docPartGallery w:val="Page Numbers (Top of Page)"/>
            <w:docPartUnique/>
          </w:docPartObj>
        </w:sdtPr>
        <w:sdtEndPr/>
        <w:sdtContent>
          <w:p w14:paraId="4AC66642" w14:textId="77777777" w:rsidR="00474D69" w:rsidRDefault="00474D69" w:rsidP="00474D69">
            <w:pPr>
              <w:pStyle w:val="Footer"/>
              <w:jc w:val="right"/>
            </w:pPr>
          </w:p>
          <w:p w14:paraId="384DBFE7" w14:textId="77777777" w:rsidR="00474D69" w:rsidRDefault="00474D69" w:rsidP="00474D69">
            <w:pPr>
              <w:pStyle w:val="Footer"/>
              <w:jc w:val="right"/>
            </w:pPr>
          </w:p>
          <w:p w14:paraId="19C7D72A" w14:textId="77777777" w:rsidR="005378DA" w:rsidRPr="005378DA" w:rsidRDefault="00474D69" w:rsidP="00474D69">
            <w:pPr>
              <w:pStyle w:val="Footer"/>
              <w:jc w:val="right"/>
            </w:pPr>
            <w:r>
              <w:t xml:space="preserve">Strana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43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68518224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95933804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Times New Roman" w:hAnsi="Times New Roman" w:cs="Times New Roman"/>
                <w:sz w:val="20"/>
                <w:szCs w:val="20"/>
              </w:rPr>
              <w:id w:val="-1325427465"/>
              <w:docPartObj>
                <w:docPartGallery w:val="Page Numbers (Top of Page)"/>
                <w:docPartUnique/>
              </w:docPartObj>
            </w:sdtPr>
            <w:sdtEndPr/>
            <w:sdtContent>
              <w:p w14:paraId="73CAAE71" w14:textId="77777777" w:rsidR="00474D69" w:rsidRPr="004D010A" w:rsidRDefault="00474D69" w:rsidP="00474D69">
                <w:pPr>
                  <w:pStyle w:val="Footer"/>
                  <w:jc w:val="right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</w:p>
              <w:p w14:paraId="419307A8" w14:textId="77777777" w:rsidR="00474D69" w:rsidRPr="004D010A" w:rsidRDefault="00474D69" w:rsidP="00474D69">
                <w:pPr>
                  <w:pStyle w:val="Footer"/>
                  <w:jc w:val="right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</w:p>
              <w:p w14:paraId="4099935E" w14:textId="2743D1B9" w:rsidR="005378DA" w:rsidRPr="004D010A" w:rsidRDefault="00474D69" w:rsidP="00474D69">
                <w:pPr>
                  <w:pStyle w:val="Footer"/>
                  <w:jc w:val="right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4D010A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Strana </w:t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fldChar w:fldCharType="begin"/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instrText xml:space="preserve"> PAGE </w:instrText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fldChar w:fldCharType="separate"/>
                </w:r>
                <w:r w:rsidR="001C53EC">
                  <w:rPr>
                    <w:rFonts w:ascii="Times New Roman" w:hAnsi="Times New Roman" w:cs="Times New Roman"/>
                    <w:b/>
                    <w:bCs/>
                    <w:noProof/>
                    <w:sz w:val="20"/>
                    <w:szCs w:val="20"/>
                  </w:rPr>
                  <w:t>5</w:t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fldChar w:fldCharType="end"/>
                </w:r>
                <w:r w:rsidRPr="004D010A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z </w:t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fldChar w:fldCharType="begin"/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instrText xml:space="preserve"> NUMPAGES  </w:instrText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fldChar w:fldCharType="separate"/>
                </w:r>
                <w:r w:rsidR="001C53EC">
                  <w:rPr>
                    <w:rFonts w:ascii="Times New Roman" w:hAnsi="Times New Roman" w:cs="Times New Roman"/>
                    <w:b/>
                    <w:bCs/>
                    <w:noProof/>
                    <w:sz w:val="20"/>
                    <w:szCs w:val="20"/>
                  </w:rPr>
                  <w:t>6</w:t>
                </w:r>
                <w:r w:rsidRPr="004D010A">
                  <w:rPr>
                    <w:rFonts w:ascii="Times New Roman" w:hAnsi="Times New Roman" w:cs="Times New Roman"/>
                    <w:b/>
                    <w:bCs/>
                    <w:sz w:val="20"/>
                    <w:szCs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EC292D" w14:textId="77777777" w:rsidR="00D83B97" w:rsidRDefault="00D83B97">
      <w:r>
        <w:separator/>
      </w:r>
    </w:p>
  </w:footnote>
  <w:footnote w:type="continuationSeparator" w:id="0">
    <w:p w14:paraId="79A3F2E3" w14:textId="77777777" w:rsidR="00D83B97" w:rsidRDefault="00D83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0090B"/>
    <w:multiLevelType w:val="hybridMultilevel"/>
    <w:tmpl w:val="EBACD5DE"/>
    <w:lvl w:ilvl="0" w:tplc="21FE88C2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95710"/>
    <w:multiLevelType w:val="multilevel"/>
    <w:tmpl w:val="851855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</w:rPr>
    </w:lvl>
    <w:lvl w:ilvl="4">
      <w:start w:val="85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</w:abstractNum>
  <w:abstractNum w:abstractNumId="2" w15:restartNumberingAfterBreak="0">
    <w:nsid w:val="0E1C0B4A"/>
    <w:multiLevelType w:val="multilevel"/>
    <w:tmpl w:val="D6F647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</w:abstractNum>
  <w:abstractNum w:abstractNumId="3" w15:restartNumberingAfterBreak="0">
    <w:nsid w:val="123774DC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4" w15:restartNumberingAfterBreak="0">
    <w:nsid w:val="18576438"/>
    <w:multiLevelType w:val="multilevel"/>
    <w:tmpl w:val="D6F647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</w:abstractNum>
  <w:abstractNum w:abstractNumId="5" w15:restartNumberingAfterBreak="0">
    <w:nsid w:val="1A40381C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251124DD"/>
    <w:multiLevelType w:val="hybridMultilevel"/>
    <w:tmpl w:val="F4BA18F6"/>
    <w:lvl w:ilvl="0" w:tplc="06C27E18">
      <w:start w:val="851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DAD6F37"/>
    <w:multiLevelType w:val="hybridMultilevel"/>
    <w:tmpl w:val="27EE3C24"/>
    <w:lvl w:ilvl="0" w:tplc="7408CD0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03DD5"/>
    <w:multiLevelType w:val="hybridMultilevel"/>
    <w:tmpl w:val="A106EF16"/>
    <w:lvl w:ilvl="0" w:tplc="6B68E2F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B6D84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0" w15:restartNumberingAfterBreak="0">
    <w:nsid w:val="3BAF5601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1" w15:restartNumberingAfterBreak="0">
    <w:nsid w:val="3C79217E"/>
    <w:multiLevelType w:val="hybridMultilevel"/>
    <w:tmpl w:val="6AA826EA"/>
    <w:lvl w:ilvl="0" w:tplc="06C27E18">
      <w:start w:val="85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FD5DCC"/>
    <w:multiLevelType w:val="hybridMultilevel"/>
    <w:tmpl w:val="BD502352"/>
    <w:lvl w:ilvl="0" w:tplc="4440A078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21ED2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</w:abstractNum>
  <w:abstractNum w:abstractNumId="14" w15:restartNumberingAfterBreak="0">
    <w:nsid w:val="61467D6F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5" w15:restartNumberingAfterBreak="0">
    <w:nsid w:val="6A017E73"/>
    <w:multiLevelType w:val="multilevel"/>
    <w:tmpl w:val="C8444D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7557494B"/>
    <w:multiLevelType w:val="hybridMultilevel"/>
    <w:tmpl w:val="94EA484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72AE1C6C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474A347A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6"/>
  </w:num>
  <w:num w:numId="4">
    <w:abstractNumId w:val="10"/>
  </w:num>
  <w:num w:numId="5">
    <w:abstractNumId w:val="8"/>
  </w:num>
  <w:num w:numId="6">
    <w:abstractNumId w:val="9"/>
  </w:num>
  <w:num w:numId="7">
    <w:abstractNumId w:val="7"/>
  </w:num>
  <w:num w:numId="8">
    <w:abstractNumId w:val="13"/>
  </w:num>
  <w:num w:numId="9">
    <w:abstractNumId w:val="0"/>
  </w:num>
  <w:num w:numId="10">
    <w:abstractNumId w:val="5"/>
  </w:num>
  <w:num w:numId="11">
    <w:abstractNumId w:val="14"/>
  </w:num>
  <w:num w:numId="12">
    <w:abstractNumId w:val="6"/>
  </w:num>
  <w:num w:numId="13">
    <w:abstractNumId w:val="11"/>
  </w:num>
  <w:num w:numId="14">
    <w:abstractNumId w:val="1"/>
  </w:num>
  <w:num w:numId="15">
    <w:abstractNumId w:val="12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mirrorMargins/>
  <w:activeWritingStyle w:appName="MSWord" w:lang="en-GB" w:vendorID="64" w:dllVersion="6" w:nlCheck="1" w:checkStyle="0"/>
  <w:proofState w:spelling="clean" w:grammar="clean"/>
  <w:defaultTabStop w:val="720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D87"/>
    <w:rsid w:val="000248D3"/>
    <w:rsid w:val="00121517"/>
    <w:rsid w:val="00151DBA"/>
    <w:rsid w:val="001C53EC"/>
    <w:rsid w:val="001E73F3"/>
    <w:rsid w:val="00235D87"/>
    <w:rsid w:val="00363373"/>
    <w:rsid w:val="00474D69"/>
    <w:rsid w:val="004C7C62"/>
    <w:rsid w:val="004D010A"/>
    <w:rsid w:val="004D748D"/>
    <w:rsid w:val="004F11A5"/>
    <w:rsid w:val="00535964"/>
    <w:rsid w:val="005378DA"/>
    <w:rsid w:val="005503EC"/>
    <w:rsid w:val="00567561"/>
    <w:rsid w:val="005677D5"/>
    <w:rsid w:val="00585E42"/>
    <w:rsid w:val="00592FD9"/>
    <w:rsid w:val="005D59B5"/>
    <w:rsid w:val="005E558A"/>
    <w:rsid w:val="0060725E"/>
    <w:rsid w:val="006341F7"/>
    <w:rsid w:val="006358DD"/>
    <w:rsid w:val="006E1205"/>
    <w:rsid w:val="00742171"/>
    <w:rsid w:val="007865CD"/>
    <w:rsid w:val="007912E3"/>
    <w:rsid w:val="00797843"/>
    <w:rsid w:val="007E0038"/>
    <w:rsid w:val="00816A35"/>
    <w:rsid w:val="008E0AA2"/>
    <w:rsid w:val="00902ED8"/>
    <w:rsid w:val="00912A60"/>
    <w:rsid w:val="00973829"/>
    <w:rsid w:val="00981A1F"/>
    <w:rsid w:val="009901A7"/>
    <w:rsid w:val="009E1197"/>
    <w:rsid w:val="00A53568"/>
    <w:rsid w:val="00AB7A48"/>
    <w:rsid w:val="00B06862"/>
    <w:rsid w:val="00B22E3D"/>
    <w:rsid w:val="00B81097"/>
    <w:rsid w:val="00BD1769"/>
    <w:rsid w:val="00BE7EB4"/>
    <w:rsid w:val="00C16330"/>
    <w:rsid w:val="00C61804"/>
    <w:rsid w:val="00CA0F30"/>
    <w:rsid w:val="00D5203F"/>
    <w:rsid w:val="00D83B97"/>
    <w:rsid w:val="00D935B6"/>
    <w:rsid w:val="00DC0FE1"/>
    <w:rsid w:val="00DD3FDE"/>
    <w:rsid w:val="00E132D3"/>
    <w:rsid w:val="00E25B56"/>
    <w:rsid w:val="00E66B81"/>
    <w:rsid w:val="00E8085F"/>
    <w:rsid w:val="00EA6497"/>
    <w:rsid w:val="00F26828"/>
    <w:rsid w:val="00F638CD"/>
    <w:rsid w:val="00FE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5F2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mbolypreslovanie">
    <w:name w:val="Symboly pre číslovanie"/>
    <w:qFormat/>
    <w:rPr>
      <w:b w:val="0"/>
      <w:bCs w:val="0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Register">
    <w:name w:val="Register"/>
    <w:basedOn w:val="Normal"/>
    <w:qFormat/>
    <w:pPr>
      <w:suppressLineNumbers/>
    </w:pPr>
  </w:style>
  <w:style w:type="paragraph" w:customStyle="1" w:styleId="Hlavikaapta">
    <w:name w:val="Hlavička a päta"/>
    <w:basedOn w:val="Normal"/>
    <w:qFormat/>
    <w:pPr>
      <w:suppressLineNumbers/>
      <w:tabs>
        <w:tab w:val="center" w:pos="4620"/>
        <w:tab w:val="right" w:pos="9240"/>
      </w:tabs>
    </w:pPr>
  </w:style>
  <w:style w:type="paragraph" w:styleId="Footer">
    <w:name w:val="footer"/>
    <w:basedOn w:val="Hlavikaapta"/>
    <w:link w:val="FooterChar"/>
    <w:uiPriority w:val="99"/>
  </w:style>
  <w:style w:type="paragraph" w:styleId="Header">
    <w:name w:val="header"/>
    <w:basedOn w:val="Normal"/>
    <w:link w:val="HeaderChar"/>
    <w:uiPriority w:val="99"/>
    <w:unhideWhenUsed/>
    <w:rsid w:val="006341F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341F7"/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378DA"/>
  </w:style>
  <w:style w:type="paragraph" w:styleId="ListParagraph">
    <w:name w:val="List Paragraph"/>
    <w:basedOn w:val="Normal"/>
    <w:uiPriority w:val="34"/>
    <w:qFormat/>
    <w:rsid w:val="00AB7A48"/>
    <w:pPr>
      <w:ind w:left="720"/>
      <w:contextualSpacing/>
    </w:pPr>
    <w:rPr>
      <w:rFonts w:cs="Mangal"/>
      <w:szCs w:val="21"/>
    </w:rPr>
  </w:style>
  <w:style w:type="table" w:styleId="TableGrid">
    <w:name w:val="Table Grid"/>
    <w:basedOn w:val="TableNormal"/>
    <w:uiPriority w:val="39"/>
    <w:rsid w:val="00C61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DefaultParagraphFont"/>
    <w:link w:val="Zkladntext1"/>
    <w:rsid w:val="00592FD9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1">
    <w:name w:val="Základný text1"/>
    <w:basedOn w:val="Normal"/>
    <w:link w:val="Zkladntext"/>
    <w:rsid w:val="00592FD9"/>
    <w:pPr>
      <w:widowControl w:val="0"/>
      <w:suppressAutoHyphens w:val="0"/>
      <w:spacing w:after="240" w:line="276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6A35"/>
    <w:rPr>
      <w:rFonts w:cs="Mangal"/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6A35"/>
    <w:rPr>
      <w:rFonts w:cs="Mangal"/>
      <w:sz w:val="20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816A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A3F5E-0B03-47C5-9309-14E761F56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2024-09-25T10:38:00Z</dcterms:created>
  <dcterms:modified xsi:type="dcterms:W3CDTF">2024-10-24T12:48:00Z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2024-09-24T13:33:19Z</dcterms:created>
  <dc:creator/>
  <dc:description/>
  <dc:language>sk-SK</dc:language>
  <cp:lastModifiedBy/>
  <dcterms:modified xsi:type="dcterms:W3CDTF">2024-09-24T15:28:31Z</dcterms:modified>
  <cp:revision>10</cp:revision>
  <dc:subject/>
  <dc:title/>
</cp:coreProperties>
</file>