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2F5" w:rsidRPr="00AF018B" w:rsidRDefault="00C5369F" w:rsidP="00AF018B">
      <w:pPr>
        <w:pStyle w:val="Heading2"/>
        <w:keepNext w:val="0"/>
        <w:keepLines w:val="0"/>
        <w:widowControl w:val="0"/>
        <w:spacing w:after="196" w:line="259" w:lineRule="auto"/>
        <w:ind w:left="0" w:firstLine="0"/>
        <w:jc w:val="both"/>
        <w:rPr>
          <w:rFonts w:ascii="Times New Roman" w:hAnsi="Times New Roman" w:cs="Times New Roman"/>
          <w:sz w:val="24"/>
          <w:szCs w:val="24"/>
        </w:rPr>
      </w:pPr>
      <w:r w:rsidRPr="00AF018B">
        <w:rPr>
          <w:rFonts w:ascii="Times New Roman" w:hAnsi="Times New Roman" w:cs="Times New Roman"/>
          <w:sz w:val="24"/>
          <w:szCs w:val="24"/>
        </w:rPr>
        <w:t xml:space="preserve">Príloha č. </w:t>
      </w:r>
      <w:r w:rsidR="00AF018B" w:rsidRPr="00AF018B">
        <w:rPr>
          <w:rFonts w:ascii="Times New Roman" w:hAnsi="Times New Roman" w:cs="Times New Roman"/>
          <w:sz w:val="24"/>
          <w:szCs w:val="24"/>
        </w:rPr>
        <w:t>6</w:t>
      </w:r>
      <w:r w:rsidRPr="00AF018B">
        <w:rPr>
          <w:rFonts w:ascii="Times New Roman" w:hAnsi="Times New Roman" w:cs="Times New Roman"/>
          <w:sz w:val="24"/>
          <w:szCs w:val="24"/>
        </w:rPr>
        <w:t xml:space="preserve"> </w:t>
      </w:r>
      <w:r w:rsidR="00954036" w:rsidRPr="00AF018B">
        <w:rPr>
          <w:rFonts w:ascii="Times New Roman" w:hAnsi="Times New Roman" w:cs="Times New Roman"/>
          <w:sz w:val="24"/>
          <w:szCs w:val="24"/>
        </w:rPr>
        <w:t>SLA Zmluvy</w:t>
      </w:r>
      <w:r w:rsidRPr="00AF018B">
        <w:rPr>
          <w:rFonts w:ascii="Times New Roman" w:hAnsi="Times New Roman" w:cs="Times New Roman"/>
          <w:sz w:val="24"/>
          <w:szCs w:val="24"/>
        </w:rPr>
        <w:t xml:space="preserve"> </w:t>
      </w:r>
      <w:r w:rsidR="00B252F5" w:rsidRPr="00AF018B">
        <w:rPr>
          <w:rFonts w:ascii="Times New Roman" w:hAnsi="Times New Roman" w:cs="Times New Roman"/>
          <w:sz w:val="24"/>
          <w:szCs w:val="24"/>
        </w:rPr>
        <w:t>–</w:t>
      </w:r>
      <w:r w:rsidRPr="00AF018B">
        <w:rPr>
          <w:rFonts w:ascii="Times New Roman" w:hAnsi="Times New Roman" w:cs="Times New Roman"/>
          <w:sz w:val="24"/>
          <w:szCs w:val="24"/>
        </w:rPr>
        <w:t xml:space="preserve"> </w:t>
      </w:r>
      <w:r w:rsidR="00AF018B" w:rsidRPr="00AF018B">
        <w:rPr>
          <w:rFonts w:ascii="Times New Roman" w:hAnsi="Times New Roman" w:cs="Times New Roman"/>
          <w:sz w:val="24"/>
          <w:szCs w:val="24"/>
        </w:rPr>
        <w:t>Projekt odovzdania znalostí</w:t>
      </w:r>
    </w:p>
    <w:p w:rsidR="00B252F5" w:rsidRPr="00AF018B" w:rsidRDefault="00B252F5" w:rsidP="00AF018B">
      <w:pPr>
        <w:pStyle w:val="Heading2"/>
        <w:keepNext w:val="0"/>
        <w:keepLines w:val="0"/>
        <w:widowControl w:val="0"/>
        <w:spacing w:after="196" w:line="259" w:lineRule="auto"/>
        <w:ind w:left="0" w:firstLine="0"/>
        <w:jc w:val="both"/>
        <w:rPr>
          <w:rFonts w:ascii="Times New Roman" w:hAnsi="Times New Roman" w:cs="Times New Roman"/>
          <w:sz w:val="24"/>
          <w:szCs w:val="24"/>
        </w:rPr>
      </w:pP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Táto príloha popisuje základné princípy vypracovania a realizácie aktivity Odovzdania znalostí, cieľom ktorej je odovzdanie poskytovaných Služieb od Objednávateľa a doterajšieho Poskytovateľa Služieb a vytvorenia podmienok pre poskytovanie týchto Služieb novým poskytovateľom odo dňa začiatku poskytovania služieb v zmysle požiadaviek a parametrov definovaných v budúcej zmluve. </w:t>
      </w:r>
    </w:p>
    <w:p w:rsidR="00AF018B" w:rsidRPr="00AF018B" w:rsidRDefault="00AF018B" w:rsidP="00AF018B">
      <w:pPr>
        <w:jc w:val="both"/>
        <w:rPr>
          <w:rFonts w:ascii="Times New Roman" w:hAnsi="Times New Roman" w:cs="Times New Roman"/>
          <w:b/>
          <w:u w:val="single"/>
          <w:lang w:eastAsia="sk-SK"/>
        </w:rPr>
      </w:pPr>
      <w:r w:rsidRPr="00AF018B">
        <w:rPr>
          <w:rFonts w:ascii="Times New Roman" w:hAnsi="Times New Roman" w:cs="Times New Roman"/>
          <w:b/>
          <w:u w:val="single"/>
          <w:lang w:eastAsia="sk-SK"/>
        </w:rPr>
        <w:t xml:space="preserve">A. Základná definícia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Poskytovateľ je povinný vypracovať plán Projektu Odovzdania znalostí v zmysle ustanovení tejto prílohy a to minimálne v rozsahu: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1)</w:t>
      </w:r>
      <w:r w:rsidRPr="00AF018B">
        <w:rPr>
          <w:rFonts w:ascii="Times New Roman" w:hAnsi="Times New Roman" w:cs="Times New Roman"/>
          <w:lang w:eastAsia="sk-SK"/>
        </w:rPr>
        <w:tab/>
        <w:t xml:space="preserve">Definovať organizačnú štruktúru projektového tímu,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2)</w:t>
      </w:r>
      <w:r w:rsidRPr="00AF018B">
        <w:rPr>
          <w:rFonts w:ascii="Times New Roman" w:hAnsi="Times New Roman" w:cs="Times New Roman"/>
          <w:lang w:eastAsia="sk-SK"/>
        </w:rPr>
        <w:tab/>
        <w:t xml:space="preserve">Komunikačný plán,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3)</w:t>
      </w:r>
      <w:r w:rsidRPr="00AF018B">
        <w:rPr>
          <w:rFonts w:ascii="Times New Roman" w:hAnsi="Times New Roman" w:cs="Times New Roman"/>
          <w:lang w:eastAsia="sk-SK"/>
        </w:rPr>
        <w:tab/>
        <w:t xml:space="preserve">Detailný časový harmonogram jednotlivých aktivít a míľnikov.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4)</w:t>
      </w:r>
      <w:r w:rsidRPr="00AF018B">
        <w:rPr>
          <w:rFonts w:ascii="Times New Roman" w:hAnsi="Times New Roman" w:cs="Times New Roman"/>
          <w:lang w:eastAsia="sk-SK"/>
        </w:rPr>
        <w:tab/>
        <w:t xml:space="preserve">Zmluvné strany sa dohodli na pravidelných týždenných stretnutiach projektového tímu Projektu Odovzdania znalostí s cieľom informovať Objednávateľa o priebehu realizácie Projektu Odovzdania znalostí voči časovému harmonogramu, počas tranzitívnej periódy projektu podľa bodu 3.5 tejto zmluvy.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5)</w:t>
      </w:r>
      <w:r w:rsidRPr="00AF018B">
        <w:rPr>
          <w:rFonts w:ascii="Times New Roman" w:hAnsi="Times New Roman" w:cs="Times New Roman"/>
          <w:lang w:eastAsia="sk-SK"/>
        </w:rPr>
        <w:tab/>
        <w:t xml:space="preserve">Poskytovateľ je povinný vypracovať v súčinnosti s Objednávateľom opis zavedenej metodiky na poskytovanie Paušálnych služieb podľa Prílohy č. 1 SLA Zmluvy a Objednávkových služieb podľa Prílohy č. 2 SLA Zmluvy.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Poskytovateľ sa zaväzuje vyvinúť maximálne úsilie v súvislosti s prechodom znalostí z Objednávateľa a doterajšieho Poskytovateľa, a to najmä formou: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1)</w:t>
      </w:r>
      <w:r w:rsidRPr="00AF018B">
        <w:rPr>
          <w:rFonts w:ascii="Times New Roman" w:hAnsi="Times New Roman" w:cs="Times New Roman"/>
          <w:lang w:eastAsia="sk-SK"/>
        </w:rPr>
        <w:tab/>
        <w:t xml:space="preserve">Poskytnutia technickej, prevádzkovej a inej dokumentácie,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2)</w:t>
      </w:r>
      <w:r w:rsidRPr="00AF018B">
        <w:rPr>
          <w:rFonts w:ascii="Times New Roman" w:hAnsi="Times New Roman" w:cs="Times New Roman"/>
          <w:lang w:eastAsia="sk-SK"/>
        </w:rPr>
        <w:tab/>
        <w:t xml:space="preserve">Inštruktáží tímu nového poskytovateľa tímom Poskytovateľa,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3)</w:t>
      </w:r>
      <w:r w:rsidRPr="00AF018B">
        <w:rPr>
          <w:rFonts w:ascii="Times New Roman" w:hAnsi="Times New Roman" w:cs="Times New Roman"/>
          <w:lang w:eastAsia="sk-SK"/>
        </w:rPr>
        <w:tab/>
        <w:t xml:space="preserve">Informovanosti o poskytovaní Služieb doterajším Poskytovateľom Služieb tímu nového poskytovateľa za podpory tímu Objednávateľa (napr. riešenie Incidentov), 4) Konzultácií s kľúčovými osobami poskytovateľa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Poskytovateľ sa zaväzuje poskytnúť novému poskytovateľovi súčinnosť minimálne v rozsahu: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1)</w:t>
      </w:r>
      <w:r w:rsidRPr="00AF018B">
        <w:rPr>
          <w:rFonts w:ascii="Times New Roman" w:hAnsi="Times New Roman" w:cs="Times New Roman"/>
          <w:lang w:eastAsia="sk-SK"/>
        </w:rPr>
        <w:tab/>
        <w:t xml:space="preserve">odovzdanie </w:t>
      </w:r>
      <w:r w:rsidRPr="00AF018B">
        <w:rPr>
          <w:rFonts w:ascii="Times New Roman" w:hAnsi="Times New Roman" w:cs="Times New Roman"/>
          <w:lang w:eastAsia="sk-SK"/>
        </w:rPr>
        <w:tab/>
        <w:t xml:space="preserve">aktualizovanej </w:t>
      </w:r>
      <w:r w:rsidRPr="00AF018B">
        <w:rPr>
          <w:rFonts w:ascii="Times New Roman" w:hAnsi="Times New Roman" w:cs="Times New Roman"/>
          <w:lang w:eastAsia="sk-SK"/>
        </w:rPr>
        <w:tab/>
        <w:t xml:space="preserve">dokumentácie </w:t>
      </w:r>
      <w:r w:rsidRPr="00AF018B">
        <w:rPr>
          <w:rFonts w:ascii="Times New Roman" w:hAnsi="Times New Roman" w:cs="Times New Roman"/>
          <w:lang w:eastAsia="sk-SK"/>
        </w:rPr>
        <w:tab/>
        <w:t xml:space="preserve">IS </w:t>
      </w:r>
      <w:r w:rsidRPr="00AF018B">
        <w:rPr>
          <w:rFonts w:ascii="Times New Roman" w:hAnsi="Times New Roman" w:cs="Times New Roman"/>
          <w:lang w:eastAsia="sk-SK"/>
        </w:rPr>
        <w:tab/>
        <w:t xml:space="preserve">(technickú, </w:t>
      </w:r>
      <w:r w:rsidRPr="00AF018B">
        <w:rPr>
          <w:rFonts w:ascii="Times New Roman" w:hAnsi="Times New Roman" w:cs="Times New Roman"/>
          <w:lang w:eastAsia="sk-SK"/>
        </w:rPr>
        <w:tab/>
        <w:t xml:space="preserve">aplikačnú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 xml:space="preserve">(administrátorskú), užívateľskú, prevádzkovú, inštalačnú,...),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2)</w:t>
      </w:r>
      <w:r w:rsidRPr="00AF018B">
        <w:rPr>
          <w:rFonts w:ascii="Times New Roman" w:hAnsi="Times New Roman" w:cs="Times New Roman"/>
          <w:lang w:eastAsia="sk-SK"/>
        </w:rPr>
        <w:tab/>
        <w:t xml:space="preserve">odovzdanie aktuálnej systémovej dokumentácie – zdrojové kódy, aplikačná architektúra, parametre a nastavenia aplikácií a databáz, štruktúra databáz a nastavenia,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3)</w:t>
      </w:r>
      <w:r w:rsidRPr="00AF018B">
        <w:rPr>
          <w:rFonts w:ascii="Times New Roman" w:hAnsi="Times New Roman" w:cs="Times New Roman"/>
          <w:lang w:eastAsia="sk-SK"/>
        </w:rPr>
        <w:tab/>
        <w:t xml:space="preserve">zabezpečenie odovzdania kópií SW vlastneného Objednávateľom a prevzatého doterajším Poskytovateľom, ak také sú, na výmenných médiách dodaných, alebo vytvorených v rámci prevádzky Služieb,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4)</w:t>
      </w:r>
      <w:r w:rsidRPr="00AF018B">
        <w:rPr>
          <w:rFonts w:ascii="Times New Roman" w:hAnsi="Times New Roman" w:cs="Times New Roman"/>
          <w:lang w:eastAsia="sk-SK"/>
        </w:rPr>
        <w:tab/>
        <w:t xml:space="preserve">odovzdanie všetkých hesiel k IS pre zabezpečenie bezproblémovej prevádzky,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lastRenderedPageBreak/>
        <w:t>5)</w:t>
      </w:r>
      <w:r w:rsidRPr="00AF018B">
        <w:rPr>
          <w:rFonts w:ascii="Times New Roman" w:hAnsi="Times New Roman" w:cs="Times New Roman"/>
          <w:lang w:eastAsia="sk-SK"/>
        </w:rPr>
        <w:tab/>
        <w:t xml:space="preserve">administrácie otvorených Incidentov a požiadaviek, ktoré nebudú ukončené v rámci Služieb v súčinnosti s novým poskytovateľom,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6)</w:t>
      </w:r>
      <w:r w:rsidRPr="00AF018B">
        <w:rPr>
          <w:rFonts w:ascii="Times New Roman" w:hAnsi="Times New Roman" w:cs="Times New Roman"/>
          <w:lang w:eastAsia="sk-SK"/>
        </w:rPr>
        <w:tab/>
        <w:t xml:space="preserve">oboznámenie Objednávateľa a nového poskytovateľa s existujúcou dokumentáciou formou workshopu,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7)</w:t>
      </w:r>
      <w:r w:rsidRPr="00AF018B">
        <w:rPr>
          <w:rFonts w:ascii="Times New Roman" w:hAnsi="Times New Roman" w:cs="Times New Roman"/>
          <w:lang w:eastAsia="sk-SK"/>
        </w:rPr>
        <w:tab/>
        <w:t xml:space="preserve">oboznámenie Objednávateľa a nového poskytovateľa so zdrojovými kódmi formou workshopu, 8) oboznámenia nového poskytovateľa s IS, jeho modulmi, vrátane pokrytia funkcionalít modulmi formou workshopu,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9)</w:t>
      </w:r>
      <w:r w:rsidRPr="00AF018B">
        <w:rPr>
          <w:rFonts w:ascii="Times New Roman" w:hAnsi="Times New Roman" w:cs="Times New Roman"/>
          <w:lang w:eastAsia="sk-SK"/>
        </w:rPr>
        <w:tab/>
        <w:t xml:space="preserve">oboznámenia nového poskytovateľa s relevantnou infraštruktúrou IS formou workshopu,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10)</w:t>
      </w:r>
      <w:r w:rsidRPr="00AF018B">
        <w:rPr>
          <w:rFonts w:ascii="Times New Roman" w:hAnsi="Times New Roman" w:cs="Times New Roman"/>
          <w:lang w:eastAsia="sk-SK"/>
        </w:rPr>
        <w:tab/>
        <w:t xml:space="preserve">súčinnosť pri pilotnej podpore prevádzky a údržbe – t. j. realizácia súboru činností, ktoré overia schopnosť nového poskytovateľa zabezpečiť prevádzku IS s definovanými parametrami (napr. testovanie postupov riešenia známych prevádzkových chýb, fixácia vybraných programových chýb, implementácia vybraných požiadaviek na zmeny, monitoring IS,...),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11)</w:t>
      </w:r>
      <w:r w:rsidRPr="00AF018B">
        <w:rPr>
          <w:rFonts w:ascii="Times New Roman" w:hAnsi="Times New Roman" w:cs="Times New Roman"/>
          <w:lang w:eastAsia="sk-SK"/>
        </w:rPr>
        <w:tab/>
        <w:t>súčinnosť pri testovacej inštalácii vybranej aplikácie (modulu) na základe technickej príručky,</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12)</w:t>
      </w:r>
      <w:r w:rsidRPr="00AF018B">
        <w:rPr>
          <w:rFonts w:ascii="Times New Roman" w:hAnsi="Times New Roman" w:cs="Times New Roman"/>
          <w:lang w:eastAsia="sk-SK"/>
        </w:rPr>
        <w:tab/>
        <w:t xml:space="preserve">súčinnosť pri zaškolení pracovníkov, ktorí budú vykonávať služby prevádzky, údržby a podpory.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Poskytovateľ je povinný predložiť Objednávateľovi na akceptáciu výstupy viažuce sa na záverečný míľnik plánu Projektu Odovzdania znalostí najneskôr 21 pracovných dní pred dňom ukončenia poskytovania Služieb Projektu odovzdania znalostí.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Zmluvné strany sa dohodli, že Projekt Odovzdania znalostí končí dňom predchádzajúcim dňu začatia poskytovania služieb novým poskytovateľom, pričom do tohto dňa nesie plnú zodpovednosť za poskytovanie Služieb Poskytovateľ, avšak nie dlhšie ako 3 mesiace od skončenia platnosti Zmluvy.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 </w:t>
      </w:r>
    </w:p>
    <w:p w:rsidR="00AF018B" w:rsidRPr="00AF018B" w:rsidRDefault="00AF018B" w:rsidP="00AF018B">
      <w:pPr>
        <w:jc w:val="both"/>
        <w:rPr>
          <w:rFonts w:ascii="Times New Roman" w:hAnsi="Times New Roman" w:cs="Times New Roman"/>
          <w:b/>
          <w:u w:val="single"/>
          <w:lang w:eastAsia="sk-SK"/>
        </w:rPr>
      </w:pPr>
      <w:r w:rsidRPr="00AF018B">
        <w:rPr>
          <w:rFonts w:ascii="Times New Roman" w:hAnsi="Times New Roman" w:cs="Times New Roman"/>
          <w:b/>
          <w:u w:val="single"/>
          <w:lang w:eastAsia="sk-SK"/>
        </w:rPr>
        <w:t xml:space="preserve">B. Schvaľovanie výstupov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1)</w:t>
      </w:r>
      <w:r w:rsidRPr="00AF018B">
        <w:rPr>
          <w:rFonts w:ascii="Times New Roman" w:hAnsi="Times New Roman" w:cs="Times New Roman"/>
          <w:lang w:eastAsia="sk-SK"/>
        </w:rPr>
        <w:tab/>
        <w:t xml:space="preserve">Zmluvné strany sa dohodli, že plán Projektu Odovzdania znalostí, všetky výstupy alebo definované míľniky v zmysle tohto plánu musia byť schválené a akceptované Oprávnenou osobou za stranu Objednávateľa.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2)</w:t>
      </w:r>
      <w:r w:rsidRPr="00AF018B">
        <w:rPr>
          <w:rFonts w:ascii="Times New Roman" w:hAnsi="Times New Roman" w:cs="Times New Roman"/>
          <w:lang w:eastAsia="sk-SK"/>
        </w:rPr>
        <w:tab/>
        <w:t xml:space="preserve">Objednávateľ sa zaväzuje, že vykoná kontrolu výstupu Projektu Odovzdania znalostí do päť pracovných dní odo dňa ich predloženia Poskytovateľom.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3)</w:t>
      </w:r>
      <w:r w:rsidRPr="00AF018B">
        <w:rPr>
          <w:rFonts w:ascii="Times New Roman" w:hAnsi="Times New Roman" w:cs="Times New Roman"/>
          <w:lang w:eastAsia="sk-SK"/>
        </w:rPr>
        <w:tab/>
        <w:t xml:space="preserve">Výsledok Akceptačného konania výstupu Projektu Odovzdania znalostí alebo jeho časti sa Objednávateľ zaväzuje písomne oznámiť Poskytovateľovi najneskôr do troch pracovných dní od realizácie Akceptačného konania.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4)</w:t>
      </w:r>
      <w:r w:rsidRPr="00AF018B">
        <w:rPr>
          <w:rFonts w:ascii="Times New Roman" w:hAnsi="Times New Roman" w:cs="Times New Roman"/>
          <w:lang w:eastAsia="sk-SK"/>
        </w:rPr>
        <w:tab/>
        <w:t xml:space="preserve">V prípade akceptácie akéhokoľvek výstupu uvedeného v bode 1, vyhotoví Poskytovateľ do troch pracovných dní písomný Akceptačný protokol, ktorý bude podpísaný Oprávnenými osobami obidvoch Zmluvných strán. Akceptačný protokol musí obsahovať najmä: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5)</w:t>
      </w:r>
      <w:r w:rsidRPr="00AF018B">
        <w:rPr>
          <w:rFonts w:ascii="Times New Roman" w:hAnsi="Times New Roman" w:cs="Times New Roman"/>
          <w:lang w:eastAsia="sk-SK"/>
        </w:rPr>
        <w:tab/>
        <w:t xml:space="preserve">dátum odovzdania a prevzatia výstupu Projektu Odovzdania znalostí,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6)</w:t>
      </w:r>
      <w:r w:rsidRPr="00AF018B">
        <w:rPr>
          <w:rFonts w:ascii="Times New Roman" w:hAnsi="Times New Roman" w:cs="Times New Roman"/>
          <w:lang w:eastAsia="sk-SK"/>
        </w:rPr>
        <w:tab/>
        <w:t xml:space="preserve">popis poskytnutého výstupu Projektu Odovzdania znalostí,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7)</w:t>
      </w:r>
      <w:r w:rsidRPr="00AF018B">
        <w:rPr>
          <w:rFonts w:ascii="Times New Roman" w:hAnsi="Times New Roman" w:cs="Times New Roman"/>
          <w:lang w:eastAsia="sk-SK"/>
        </w:rPr>
        <w:tab/>
        <w:t xml:space="preserve">uvedenie prípadne zistených nedostatkov, ktoré musí Poskytovateľ ešte odstrániť s uvedením záväznej lehoty na ich odstránenie,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8)</w:t>
      </w:r>
      <w:r w:rsidRPr="00AF018B">
        <w:rPr>
          <w:rFonts w:ascii="Times New Roman" w:hAnsi="Times New Roman" w:cs="Times New Roman"/>
          <w:lang w:eastAsia="sk-SK"/>
        </w:rPr>
        <w:tab/>
        <w:t xml:space="preserve">potvrdenie, že výstup Projektu Odovzdania znalostí je v súlade s plánom Projektu Odovzdania znalostí, prípadne inými podmienkami, dohodnutými v príslušnej prílohe alebo dokumente, tvoriacich súčasť tejto SLA Zmluvy,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lastRenderedPageBreak/>
        <w:t>9)</w:t>
      </w:r>
      <w:r w:rsidRPr="00AF018B">
        <w:rPr>
          <w:rFonts w:ascii="Times New Roman" w:hAnsi="Times New Roman" w:cs="Times New Roman"/>
          <w:lang w:eastAsia="sk-SK"/>
        </w:rPr>
        <w:tab/>
        <w:t xml:space="preserve">potvrdenie, že boli dodané všetky zmluvne dohodnuté dokumentácie. </w:t>
      </w:r>
    </w:p>
    <w:p w:rsidR="00AF018B" w:rsidRPr="00AF018B" w:rsidRDefault="00AF018B" w:rsidP="00AF018B">
      <w:pPr>
        <w:ind w:left="567" w:hanging="567"/>
        <w:jc w:val="both"/>
        <w:rPr>
          <w:rFonts w:ascii="Times New Roman" w:hAnsi="Times New Roman" w:cs="Times New Roman"/>
          <w:lang w:eastAsia="sk-SK"/>
        </w:rPr>
      </w:pPr>
      <w:r w:rsidRPr="00AF018B">
        <w:rPr>
          <w:rFonts w:ascii="Times New Roman" w:hAnsi="Times New Roman" w:cs="Times New Roman"/>
          <w:lang w:eastAsia="sk-SK"/>
        </w:rPr>
        <w:t>10)</w:t>
      </w:r>
      <w:r w:rsidRPr="00AF018B">
        <w:rPr>
          <w:rFonts w:ascii="Times New Roman" w:hAnsi="Times New Roman" w:cs="Times New Roman"/>
          <w:lang w:eastAsia="sk-SK"/>
        </w:rPr>
        <w:tab/>
        <w:t xml:space="preserve">Ak výstup Projektu Odovzdania znalostí alebo jeho časť Objednávateľom akceptovaný nebude, Objednávateľ je v zmysle bodu B.3 tejto prílohy povinný písomne oznámiť túto skutočnosť Poskytovateľovi aj s výhradami, pre ktoré míľnik nebol akceptovaný. Poskytovateľ je povinný vypracovať plán, prostredníctvom ktorého vykoná kroky na odstránenie výhrad a predloží ho Objednávateľovi na akceptáciu. Zároveň je Poskytovateľ povinný ďalej pokračovať v zmysle plánu Projektu Odovzdania znalostí. Po odstránení všetkých výhrad, Poskytovateľ opätovne predloží neakceptovaný výstup Projektu Odovzdania znalostí alebo jeho časť Objednávateľovi na opätovnú akceptáciu.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 </w:t>
      </w:r>
    </w:p>
    <w:p w:rsidR="00AF018B" w:rsidRPr="00AF018B" w:rsidRDefault="00AF018B" w:rsidP="00AF018B">
      <w:pPr>
        <w:jc w:val="both"/>
        <w:rPr>
          <w:rFonts w:ascii="Times New Roman" w:hAnsi="Times New Roman" w:cs="Times New Roman"/>
          <w:b/>
          <w:u w:val="single"/>
          <w:lang w:eastAsia="sk-SK"/>
        </w:rPr>
      </w:pPr>
      <w:r w:rsidRPr="00AF018B">
        <w:rPr>
          <w:rFonts w:ascii="Times New Roman" w:hAnsi="Times New Roman" w:cs="Times New Roman"/>
          <w:b/>
          <w:u w:val="single"/>
          <w:lang w:eastAsia="sk-SK"/>
        </w:rPr>
        <w:t xml:space="preserve">C. Termíny realizácie Projektu Odovzdania znalostí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Poskytovateľ vyvinie maximálne úsilie aj za súčinnosti nového poskytovateľa, aby novému poskytovateľovi odovzdal prevádzku IS v čiastkových termínoch podľa tabuľky nižšie, najneskôr v lehote troch mesiacov od účinnosti novej zmluvy s novým poskytovateľom.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 </w:t>
      </w:r>
    </w:p>
    <w:p w:rsid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Termínový harmonogram Projektu Odovzdania znalostí o údržbe a prevádzke: </w:t>
      </w:r>
    </w:p>
    <w:tbl>
      <w:tblPr>
        <w:tblW w:w="9067" w:type="dxa"/>
        <w:tblInd w:w="145" w:type="dxa"/>
        <w:tblCellMar>
          <w:top w:w="46" w:type="dxa"/>
          <w:left w:w="107" w:type="dxa"/>
          <w:right w:w="60" w:type="dxa"/>
        </w:tblCellMar>
        <w:tblLook w:val="04A0" w:firstRow="1" w:lastRow="0" w:firstColumn="1" w:lastColumn="0" w:noHBand="0" w:noVBand="1"/>
      </w:tblPr>
      <w:tblGrid>
        <w:gridCol w:w="2284"/>
        <w:gridCol w:w="2350"/>
        <w:gridCol w:w="4433"/>
      </w:tblGrid>
      <w:tr w:rsidR="00AF018B" w:rsidRPr="00AF018B" w:rsidTr="005A2B98">
        <w:trPr>
          <w:trHeight w:val="625"/>
        </w:trPr>
        <w:tc>
          <w:tcPr>
            <w:tcW w:w="2284" w:type="dxa"/>
            <w:tcBorders>
              <w:top w:val="single" w:sz="4" w:space="0" w:color="000000"/>
              <w:left w:val="single" w:sz="4" w:space="0" w:color="000000"/>
              <w:bottom w:val="single" w:sz="4" w:space="0" w:color="000000"/>
              <w:right w:val="single" w:sz="4" w:space="0" w:color="000000"/>
            </w:tcBorders>
            <w:shd w:val="clear" w:color="auto" w:fill="E7E6E6"/>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b/>
                <w:lang w:eastAsia="sk-SK"/>
              </w:rPr>
              <w:t xml:space="preserve">Termín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b/>
                <w:lang w:eastAsia="sk-SK"/>
              </w:rPr>
              <w:t xml:space="preserve">(pracovné dni) </w:t>
            </w:r>
          </w:p>
        </w:tc>
        <w:tc>
          <w:tcPr>
            <w:tcW w:w="2350" w:type="dxa"/>
            <w:tcBorders>
              <w:top w:val="single" w:sz="4" w:space="0" w:color="000000"/>
              <w:left w:val="single" w:sz="4" w:space="0" w:color="000000"/>
              <w:bottom w:val="single" w:sz="4" w:space="0" w:color="000000"/>
              <w:right w:val="single" w:sz="4" w:space="0" w:color="000000"/>
            </w:tcBorders>
            <w:shd w:val="clear" w:color="auto" w:fill="E7E6E6"/>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b/>
                <w:lang w:eastAsia="sk-SK"/>
              </w:rPr>
              <w:t xml:space="preserve">Predmet </w:t>
            </w:r>
          </w:p>
        </w:tc>
        <w:tc>
          <w:tcPr>
            <w:tcW w:w="4433" w:type="dxa"/>
            <w:tcBorders>
              <w:top w:val="single" w:sz="4" w:space="0" w:color="000000"/>
              <w:left w:val="single" w:sz="4" w:space="0" w:color="000000"/>
              <w:bottom w:val="single" w:sz="4" w:space="0" w:color="000000"/>
              <w:right w:val="single" w:sz="4" w:space="0" w:color="000000"/>
            </w:tcBorders>
            <w:shd w:val="clear" w:color="auto" w:fill="E7E6E6"/>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b/>
                <w:lang w:eastAsia="sk-SK"/>
              </w:rPr>
              <w:t xml:space="preserve">Výstup/Forma </w:t>
            </w:r>
          </w:p>
        </w:tc>
      </w:tr>
      <w:tr w:rsidR="00AF018B" w:rsidRPr="00AF018B" w:rsidTr="005A2B98">
        <w:trPr>
          <w:trHeight w:val="788"/>
        </w:trPr>
        <w:tc>
          <w:tcPr>
            <w:tcW w:w="2284"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 + 0 prac. dní </w:t>
            </w:r>
          </w:p>
        </w:tc>
        <w:tc>
          <w:tcPr>
            <w:tcW w:w="2350"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Začiatok Tranzitívnej periódy </w:t>
            </w:r>
          </w:p>
        </w:tc>
        <w:tc>
          <w:tcPr>
            <w:tcW w:w="4433"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 </w:t>
            </w:r>
          </w:p>
        </w:tc>
      </w:tr>
      <w:tr w:rsidR="00AF018B" w:rsidRPr="00AF018B" w:rsidTr="005A2B98">
        <w:trPr>
          <w:trHeight w:val="1246"/>
        </w:trPr>
        <w:tc>
          <w:tcPr>
            <w:tcW w:w="2284"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 + 10 prac. dní </w:t>
            </w:r>
          </w:p>
        </w:tc>
        <w:tc>
          <w:tcPr>
            <w:tcW w:w="2350"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Odovzdanie dokumentácie a zdrojových kódov podľa v rozsahu tejto prílohy </w:t>
            </w:r>
          </w:p>
        </w:tc>
        <w:tc>
          <w:tcPr>
            <w:tcW w:w="4433"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Dokumenty </w:t>
            </w:r>
          </w:p>
        </w:tc>
      </w:tr>
      <w:tr w:rsidR="00AF018B" w:rsidRPr="00AF018B" w:rsidTr="005A2B98">
        <w:trPr>
          <w:trHeight w:val="1556"/>
        </w:trPr>
        <w:tc>
          <w:tcPr>
            <w:tcW w:w="2284"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 + 15 prac. dní </w:t>
            </w:r>
          </w:p>
        </w:tc>
        <w:tc>
          <w:tcPr>
            <w:tcW w:w="2350"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Odovzdanie </w:t>
            </w:r>
            <w:bookmarkStart w:id="0" w:name="_GoBack"/>
            <w:bookmarkEnd w:id="0"/>
            <w:r w:rsidRPr="00AF018B">
              <w:rPr>
                <w:rFonts w:ascii="Times New Roman" w:hAnsi="Times New Roman" w:cs="Times New Roman"/>
                <w:lang w:eastAsia="sk-SK"/>
              </w:rPr>
              <w:t xml:space="preserve">hesiel a prevádzkovej dokumentácie (napr. otvorených Incidentov) podľa tejto prílohy </w:t>
            </w:r>
          </w:p>
        </w:tc>
        <w:tc>
          <w:tcPr>
            <w:tcW w:w="4433"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Dokumenty </w:t>
            </w:r>
          </w:p>
        </w:tc>
      </w:tr>
      <w:tr w:rsidR="00AF018B" w:rsidRPr="00AF018B" w:rsidTr="005A2B98">
        <w:trPr>
          <w:trHeight w:val="936"/>
        </w:trPr>
        <w:tc>
          <w:tcPr>
            <w:tcW w:w="2284"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 + 20 prac. dní </w:t>
            </w:r>
          </w:p>
        </w:tc>
        <w:tc>
          <w:tcPr>
            <w:tcW w:w="2350"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Workshop k dokumentácii podľa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tejto prílohy </w:t>
            </w:r>
          </w:p>
        </w:tc>
        <w:tc>
          <w:tcPr>
            <w:tcW w:w="4433"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Workshop v rozsahu max. 2 x 4hodín </w:t>
            </w:r>
          </w:p>
        </w:tc>
      </w:tr>
      <w:tr w:rsidR="00AF018B" w:rsidRPr="00AF018B" w:rsidTr="005A2B98">
        <w:trPr>
          <w:trHeight w:val="1246"/>
        </w:trPr>
        <w:tc>
          <w:tcPr>
            <w:tcW w:w="2284"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 + 30 prac. dní </w:t>
            </w:r>
          </w:p>
        </w:tc>
        <w:tc>
          <w:tcPr>
            <w:tcW w:w="2350"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Workshop k architektúre a zdrojovým kódom podľa tejto prílohy </w:t>
            </w:r>
          </w:p>
        </w:tc>
        <w:tc>
          <w:tcPr>
            <w:tcW w:w="4433"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Workshop v rozsahu max. 2 x 4hodín </w:t>
            </w:r>
          </w:p>
        </w:tc>
      </w:tr>
      <w:tr w:rsidR="00AF018B" w:rsidRPr="00AF018B" w:rsidTr="005A2B98">
        <w:trPr>
          <w:trHeight w:val="936"/>
        </w:trPr>
        <w:tc>
          <w:tcPr>
            <w:tcW w:w="2284"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lastRenderedPageBreak/>
              <w:t xml:space="preserve">T + 30 prac. dní </w:t>
            </w:r>
          </w:p>
        </w:tc>
        <w:tc>
          <w:tcPr>
            <w:tcW w:w="2350"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Workshop k infraštruktúre podľa tejto prílohy </w:t>
            </w:r>
          </w:p>
        </w:tc>
        <w:tc>
          <w:tcPr>
            <w:tcW w:w="4433"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Workshop v rozsahu max. 2 x 4hodín </w:t>
            </w:r>
          </w:p>
        </w:tc>
      </w:tr>
      <w:tr w:rsidR="00AF018B" w:rsidRPr="00AF018B" w:rsidTr="005A2B98">
        <w:trPr>
          <w:trHeight w:val="937"/>
        </w:trPr>
        <w:tc>
          <w:tcPr>
            <w:tcW w:w="2284"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 + 40 prac. dní </w:t>
            </w:r>
          </w:p>
        </w:tc>
        <w:tc>
          <w:tcPr>
            <w:tcW w:w="2350"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Súčinnosť pri pilotnej podpore podľa tejto prílohy </w:t>
            </w:r>
          </w:p>
        </w:tc>
        <w:tc>
          <w:tcPr>
            <w:tcW w:w="4433"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Zoznam overených činností </w:t>
            </w:r>
          </w:p>
        </w:tc>
      </w:tr>
      <w:tr w:rsidR="00AF018B" w:rsidRPr="00AF018B" w:rsidTr="005A2B98">
        <w:trPr>
          <w:trHeight w:val="938"/>
        </w:trPr>
        <w:tc>
          <w:tcPr>
            <w:tcW w:w="2284"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 + 50 prac. dní </w:t>
            </w:r>
          </w:p>
        </w:tc>
        <w:tc>
          <w:tcPr>
            <w:tcW w:w="2350"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Súčinnosť pri testovacej inštalácii podľa tejto prílohy </w:t>
            </w:r>
          </w:p>
        </w:tc>
        <w:tc>
          <w:tcPr>
            <w:tcW w:w="4433"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Zoznam overených činností </w:t>
            </w:r>
          </w:p>
        </w:tc>
      </w:tr>
      <w:tr w:rsidR="00AF018B" w:rsidRPr="00AF018B" w:rsidTr="005A2B98">
        <w:trPr>
          <w:trHeight w:val="626"/>
        </w:trPr>
        <w:tc>
          <w:tcPr>
            <w:tcW w:w="2284"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T + 55 prac. dní </w:t>
            </w:r>
          </w:p>
        </w:tc>
        <w:tc>
          <w:tcPr>
            <w:tcW w:w="2350"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Súčinnosť pri školení podľa tejto prílohy </w:t>
            </w:r>
          </w:p>
        </w:tc>
        <w:tc>
          <w:tcPr>
            <w:tcW w:w="4433" w:type="dxa"/>
            <w:tcBorders>
              <w:top w:val="single" w:sz="4" w:space="0" w:color="000000"/>
              <w:left w:val="single" w:sz="4" w:space="0" w:color="000000"/>
              <w:bottom w:val="single" w:sz="4" w:space="0" w:color="000000"/>
              <w:right w:val="single" w:sz="4" w:space="0" w:color="000000"/>
            </w:tcBorders>
          </w:tcPr>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Zoznam overených činností </w:t>
            </w:r>
          </w:p>
        </w:tc>
      </w:tr>
    </w:tbl>
    <w:p w:rsidR="00AF018B" w:rsidRDefault="00AF018B" w:rsidP="00AF018B">
      <w:pPr>
        <w:jc w:val="both"/>
        <w:rPr>
          <w:rFonts w:ascii="Times New Roman" w:hAnsi="Times New Roman" w:cs="Times New Roman"/>
          <w:lang w:eastAsia="sk-SK"/>
        </w:rPr>
      </w:pPr>
    </w:p>
    <w:p w:rsidR="00AF018B" w:rsidRPr="00AF018B" w:rsidRDefault="00AF018B" w:rsidP="00AF018B">
      <w:pPr>
        <w:jc w:val="both"/>
        <w:rPr>
          <w:rFonts w:ascii="Times New Roman" w:hAnsi="Times New Roman" w:cs="Times New Roman"/>
          <w:lang w:eastAsia="sk-SK"/>
        </w:rPr>
      </w:pP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Jednotlivé časti harmonogramu a ich termíny sa môžu posunúť alebo presunúť podľa skutočne vykonávaných činností a potrieb etapy.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 </w:t>
      </w:r>
    </w:p>
    <w:p w:rsidR="00AF018B" w:rsidRPr="00AF018B" w:rsidRDefault="00AF018B" w:rsidP="00AF018B">
      <w:pPr>
        <w:jc w:val="both"/>
        <w:rPr>
          <w:rFonts w:ascii="Times New Roman" w:hAnsi="Times New Roman" w:cs="Times New Roman"/>
          <w:b/>
          <w:u w:val="single"/>
          <w:lang w:eastAsia="sk-SK"/>
        </w:rPr>
      </w:pPr>
      <w:r w:rsidRPr="00AF018B">
        <w:rPr>
          <w:rFonts w:ascii="Times New Roman" w:hAnsi="Times New Roman" w:cs="Times New Roman"/>
          <w:b/>
          <w:u w:val="single"/>
          <w:lang w:eastAsia="sk-SK"/>
        </w:rPr>
        <w:t xml:space="preserve">D. Dokumentácia pre informačné systémy </w:t>
      </w:r>
    </w:p>
    <w:p w:rsidR="00AF018B" w:rsidRPr="00AF018B" w:rsidRDefault="00AF018B" w:rsidP="00AF018B">
      <w:pPr>
        <w:jc w:val="both"/>
        <w:rPr>
          <w:rFonts w:ascii="Times New Roman" w:hAnsi="Times New Roman" w:cs="Times New Roman"/>
          <w:lang w:eastAsia="sk-SK"/>
        </w:rPr>
      </w:pPr>
      <w:r w:rsidRPr="00AF018B">
        <w:rPr>
          <w:rFonts w:ascii="Times New Roman" w:hAnsi="Times New Roman" w:cs="Times New Roman"/>
          <w:lang w:eastAsia="sk-SK"/>
        </w:rPr>
        <w:t xml:space="preserve">Dokumentácia sa riadi Vyhláškou o riadení projektov a obsahuje minimálne: </w:t>
      </w:r>
    </w:p>
    <w:p w:rsidR="00AF018B" w:rsidRPr="00AF018B" w:rsidRDefault="00AF018B" w:rsidP="00AF018B">
      <w:pPr>
        <w:ind w:left="567" w:hanging="567"/>
        <w:jc w:val="both"/>
        <w:rPr>
          <w:rFonts w:ascii="Times New Roman" w:hAnsi="Times New Roman" w:cs="Times New Roman"/>
          <w:b/>
          <w:lang w:eastAsia="sk-SK"/>
        </w:rPr>
      </w:pPr>
      <w:r w:rsidRPr="00AF018B">
        <w:rPr>
          <w:rFonts w:ascii="Times New Roman" w:hAnsi="Times New Roman" w:cs="Times New Roman"/>
          <w:b/>
          <w:lang w:eastAsia="sk-SK"/>
        </w:rPr>
        <w:t xml:space="preserve">1) </w:t>
      </w:r>
      <w:r w:rsidRPr="00AF018B">
        <w:rPr>
          <w:rFonts w:ascii="Times New Roman" w:hAnsi="Times New Roman" w:cs="Times New Roman"/>
          <w:b/>
          <w:lang w:eastAsia="sk-SK"/>
        </w:rPr>
        <w:tab/>
      </w:r>
      <w:r w:rsidRPr="00AF018B">
        <w:rPr>
          <w:rFonts w:ascii="Times New Roman" w:hAnsi="Times New Roman" w:cs="Times New Roman"/>
          <w:b/>
          <w:lang w:eastAsia="sk-SK"/>
        </w:rPr>
        <w:t xml:space="preserve">Technická príručka: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a)</w:t>
      </w:r>
      <w:r w:rsidRPr="00AF018B">
        <w:rPr>
          <w:rFonts w:ascii="Times New Roman" w:hAnsi="Times New Roman" w:cs="Times New Roman"/>
          <w:lang w:eastAsia="sk-SK"/>
        </w:rPr>
        <w:tab/>
        <w:t xml:space="preserve">Základné informácie o aplikácii,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b)</w:t>
      </w:r>
      <w:r w:rsidRPr="00AF018B">
        <w:rPr>
          <w:rFonts w:ascii="Times New Roman" w:hAnsi="Times New Roman" w:cs="Times New Roman"/>
          <w:lang w:eastAsia="sk-SK"/>
        </w:rPr>
        <w:tab/>
        <w:t xml:space="preserve">Požiadavky na základné HW a SW prostredie,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c)</w:t>
      </w:r>
      <w:r w:rsidRPr="00AF018B">
        <w:rPr>
          <w:rFonts w:ascii="Times New Roman" w:hAnsi="Times New Roman" w:cs="Times New Roman"/>
          <w:lang w:eastAsia="sk-SK"/>
        </w:rPr>
        <w:tab/>
        <w:t xml:space="preserve">Popis aplikácie (po moduloch ak je o relevantné),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d)</w:t>
      </w:r>
      <w:r w:rsidRPr="00AF018B">
        <w:rPr>
          <w:rFonts w:ascii="Times New Roman" w:hAnsi="Times New Roman" w:cs="Times New Roman"/>
          <w:lang w:eastAsia="sk-SK"/>
        </w:rPr>
        <w:tab/>
        <w:t xml:space="preserve">Postup inštalácie aplikácie,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e)</w:t>
      </w:r>
      <w:r w:rsidRPr="00AF018B">
        <w:rPr>
          <w:rFonts w:ascii="Times New Roman" w:hAnsi="Times New Roman" w:cs="Times New Roman"/>
          <w:lang w:eastAsia="sk-SK"/>
        </w:rPr>
        <w:tab/>
        <w:t xml:space="preserve">Nové spustenie aplikácie,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f)</w:t>
      </w:r>
      <w:r w:rsidRPr="00AF018B">
        <w:rPr>
          <w:rFonts w:ascii="Times New Roman" w:hAnsi="Times New Roman" w:cs="Times New Roman"/>
          <w:lang w:eastAsia="sk-SK"/>
        </w:rPr>
        <w:tab/>
        <w:t xml:space="preserve">Nasadenie novej verzie aplikácie,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g)</w:t>
      </w:r>
      <w:r w:rsidRPr="00AF018B">
        <w:rPr>
          <w:rFonts w:ascii="Times New Roman" w:hAnsi="Times New Roman" w:cs="Times New Roman"/>
          <w:lang w:eastAsia="sk-SK"/>
        </w:rPr>
        <w:tab/>
        <w:t xml:space="preserve">Konfigurácia aplikácie,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h)</w:t>
      </w:r>
      <w:r w:rsidRPr="00AF018B">
        <w:rPr>
          <w:rFonts w:ascii="Times New Roman" w:hAnsi="Times New Roman" w:cs="Times New Roman"/>
          <w:lang w:eastAsia="sk-SK"/>
        </w:rPr>
        <w:tab/>
        <w:t xml:space="preserve">Monitoring a údržba,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i)</w:t>
      </w:r>
      <w:r w:rsidRPr="00AF018B">
        <w:rPr>
          <w:rFonts w:ascii="Times New Roman" w:hAnsi="Times New Roman" w:cs="Times New Roman"/>
          <w:lang w:eastAsia="sk-SK"/>
        </w:rPr>
        <w:tab/>
        <w:t xml:space="preserve">Riešenie možných problémov,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j)</w:t>
      </w:r>
      <w:r w:rsidRPr="00AF018B">
        <w:rPr>
          <w:rFonts w:ascii="Times New Roman" w:hAnsi="Times New Roman" w:cs="Times New Roman"/>
          <w:lang w:eastAsia="sk-SK"/>
        </w:rPr>
        <w:tab/>
        <w:t xml:space="preserve">Zálohovanie a obnova zo zálohy. </w:t>
      </w:r>
    </w:p>
    <w:p w:rsidR="00AF018B" w:rsidRPr="00AF018B" w:rsidRDefault="00AF018B" w:rsidP="00AF018B">
      <w:pPr>
        <w:ind w:left="567" w:hanging="567"/>
        <w:jc w:val="both"/>
        <w:rPr>
          <w:rFonts w:ascii="Times New Roman" w:hAnsi="Times New Roman" w:cs="Times New Roman"/>
          <w:b/>
          <w:lang w:eastAsia="sk-SK"/>
        </w:rPr>
      </w:pPr>
      <w:r w:rsidRPr="00AF018B">
        <w:rPr>
          <w:rFonts w:ascii="Times New Roman" w:hAnsi="Times New Roman" w:cs="Times New Roman"/>
          <w:b/>
          <w:lang w:eastAsia="sk-SK"/>
        </w:rPr>
        <w:t xml:space="preserve">2) </w:t>
      </w:r>
      <w:r w:rsidRPr="00AF018B">
        <w:rPr>
          <w:rFonts w:ascii="Times New Roman" w:hAnsi="Times New Roman" w:cs="Times New Roman"/>
          <w:b/>
          <w:lang w:eastAsia="sk-SK"/>
        </w:rPr>
        <w:tab/>
      </w:r>
      <w:r w:rsidRPr="00AF018B">
        <w:rPr>
          <w:rFonts w:ascii="Times New Roman" w:hAnsi="Times New Roman" w:cs="Times New Roman"/>
          <w:b/>
          <w:lang w:eastAsia="sk-SK"/>
        </w:rPr>
        <w:t xml:space="preserve">Administrátorská príručka: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a)</w:t>
      </w:r>
      <w:r w:rsidRPr="00AF018B">
        <w:rPr>
          <w:rFonts w:ascii="Times New Roman" w:hAnsi="Times New Roman" w:cs="Times New Roman"/>
          <w:lang w:eastAsia="sk-SK"/>
        </w:rPr>
        <w:tab/>
        <w:t xml:space="preserve">Spáva aplikácie/systému,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b)</w:t>
      </w:r>
      <w:r w:rsidRPr="00AF018B">
        <w:rPr>
          <w:rFonts w:ascii="Times New Roman" w:hAnsi="Times New Roman" w:cs="Times New Roman"/>
          <w:lang w:eastAsia="sk-SK"/>
        </w:rPr>
        <w:tab/>
        <w:t xml:space="preserve">Správa používateľov systému,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c)</w:t>
      </w:r>
      <w:r w:rsidRPr="00AF018B">
        <w:rPr>
          <w:rFonts w:ascii="Times New Roman" w:hAnsi="Times New Roman" w:cs="Times New Roman"/>
          <w:lang w:eastAsia="sk-SK"/>
        </w:rPr>
        <w:tab/>
        <w:t xml:space="preserve">Správa skupín používateľov,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d)</w:t>
      </w:r>
      <w:r w:rsidRPr="00AF018B">
        <w:rPr>
          <w:rFonts w:ascii="Times New Roman" w:hAnsi="Times New Roman" w:cs="Times New Roman"/>
          <w:lang w:eastAsia="sk-SK"/>
        </w:rPr>
        <w:tab/>
        <w:t xml:space="preserve">Prístupové práva - prideľovanie prístupových práv a správa. </w:t>
      </w:r>
    </w:p>
    <w:p w:rsidR="00AF018B" w:rsidRPr="00AF018B" w:rsidRDefault="00AF018B" w:rsidP="00AF018B">
      <w:pPr>
        <w:ind w:left="567" w:hanging="567"/>
        <w:jc w:val="both"/>
        <w:rPr>
          <w:rFonts w:ascii="Times New Roman" w:hAnsi="Times New Roman" w:cs="Times New Roman"/>
          <w:b/>
          <w:lang w:eastAsia="sk-SK"/>
        </w:rPr>
      </w:pPr>
      <w:r w:rsidRPr="00AF018B">
        <w:rPr>
          <w:rFonts w:ascii="Times New Roman" w:hAnsi="Times New Roman" w:cs="Times New Roman"/>
          <w:b/>
          <w:lang w:eastAsia="sk-SK"/>
        </w:rPr>
        <w:t xml:space="preserve">3) </w:t>
      </w:r>
      <w:r w:rsidRPr="00AF018B">
        <w:rPr>
          <w:rFonts w:ascii="Times New Roman" w:hAnsi="Times New Roman" w:cs="Times New Roman"/>
          <w:b/>
          <w:lang w:eastAsia="sk-SK"/>
        </w:rPr>
        <w:tab/>
      </w:r>
      <w:r w:rsidRPr="00AF018B">
        <w:rPr>
          <w:rFonts w:ascii="Times New Roman" w:hAnsi="Times New Roman" w:cs="Times New Roman"/>
          <w:b/>
          <w:lang w:eastAsia="sk-SK"/>
        </w:rPr>
        <w:t xml:space="preserve">Správa parametrov aplikácie: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lastRenderedPageBreak/>
        <w:t>a)</w:t>
      </w:r>
      <w:r w:rsidRPr="00AF018B">
        <w:rPr>
          <w:rFonts w:ascii="Times New Roman" w:hAnsi="Times New Roman" w:cs="Times New Roman"/>
          <w:lang w:eastAsia="sk-SK"/>
        </w:rPr>
        <w:tab/>
        <w:t xml:space="preserve">Správa číselníkov,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b)</w:t>
      </w:r>
      <w:r w:rsidRPr="00AF018B">
        <w:rPr>
          <w:rFonts w:ascii="Times New Roman" w:hAnsi="Times New Roman" w:cs="Times New Roman"/>
          <w:lang w:eastAsia="sk-SK"/>
        </w:rPr>
        <w:tab/>
        <w:t xml:space="preserve">Nastavenia pracovnej stanice. </w:t>
      </w:r>
    </w:p>
    <w:p w:rsidR="00AF018B" w:rsidRPr="00AF018B" w:rsidRDefault="00AF018B" w:rsidP="00AF018B">
      <w:pPr>
        <w:ind w:left="567" w:hanging="567"/>
        <w:jc w:val="both"/>
        <w:rPr>
          <w:rFonts w:ascii="Times New Roman" w:hAnsi="Times New Roman" w:cs="Times New Roman"/>
          <w:b/>
          <w:lang w:eastAsia="sk-SK"/>
        </w:rPr>
      </w:pPr>
      <w:r w:rsidRPr="00AF018B">
        <w:rPr>
          <w:rFonts w:ascii="Times New Roman" w:hAnsi="Times New Roman" w:cs="Times New Roman"/>
          <w:b/>
          <w:lang w:eastAsia="sk-SK"/>
        </w:rPr>
        <w:t xml:space="preserve">4) </w:t>
      </w:r>
      <w:r w:rsidRPr="00AF018B">
        <w:rPr>
          <w:rFonts w:ascii="Times New Roman" w:hAnsi="Times New Roman" w:cs="Times New Roman"/>
          <w:b/>
          <w:lang w:eastAsia="sk-SK"/>
        </w:rPr>
        <w:tab/>
      </w:r>
      <w:r w:rsidRPr="00AF018B">
        <w:rPr>
          <w:rFonts w:ascii="Times New Roman" w:hAnsi="Times New Roman" w:cs="Times New Roman"/>
          <w:b/>
          <w:lang w:eastAsia="sk-SK"/>
        </w:rPr>
        <w:t xml:space="preserve">Používateľská príručka: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a)</w:t>
      </w:r>
      <w:r w:rsidRPr="00AF018B">
        <w:rPr>
          <w:rFonts w:ascii="Times New Roman" w:hAnsi="Times New Roman" w:cs="Times New Roman"/>
          <w:lang w:eastAsia="sk-SK"/>
        </w:rPr>
        <w:tab/>
        <w:t xml:space="preserve">Popis používateľského prostredia,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b)</w:t>
      </w:r>
      <w:r w:rsidRPr="00AF018B">
        <w:rPr>
          <w:rFonts w:ascii="Times New Roman" w:hAnsi="Times New Roman" w:cs="Times New Roman"/>
          <w:lang w:eastAsia="sk-SK"/>
        </w:rPr>
        <w:tab/>
        <w:t xml:space="preserve">Úvodné nastavenia, </w:t>
      </w:r>
    </w:p>
    <w:p w:rsidR="00AF018B" w:rsidRPr="00AF018B" w:rsidRDefault="00AF018B" w:rsidP="00AF018B">
      <w:pPr>
        <w:ind w:left="1134" w:hanging="567"/>
        <w:jc w:val="both"/>
        <w:rPr>
          <w:rFonts w:ascii="Times New Roman" w:hAnsi="Times New Roman" w:cs="Times New Roman"/>
          <w:lang w:eastAsia="sk-SK"/>
        </w:rPr>
      </w:pPr>
      <w:r w:rsidRPr="00AF018B">
        <w:rPr>
          <w:rFonts w:ascii="Times New Roman" w:hAnsi="Times New Roman" w:cs="Times New Roman"/>
          <w:lang w:eastAsia="sk-SK"/>
        </w:rPr>
        <w:t>c)</w:t>
      </w:r>
      <w:r w:rsidRPr="00AF018B">
        <w:rPr>
          <w:rFonts w:ascii="Times New Roman" w:hAnsi="Times New Roman" w:cs="Times New Roman"/>
          <w:lang w:eastAsia="sk-SK"/>
        </w:rPr>
        <w:tab/>
        <w:t xml:space="preserve">Popis funkcionalít aplikácie (po moduloch) popis základného ovládania a používania dokumentácie pre konkrétne informačné systémy, sa môže byť formálne usporiadané odlišné. Obsahovo ale bude obsahovať vymedzené oblasti. </w:t>
      </w:r>
    </w:p>
    <w:p w:rsidR="00AF018B" w:rsidRPr="00AF018B" w:rsidRDefault="00AF018B" w:rsidP="00AF018B">
      <w:pPr>
        <w:jc w:val="both"/>
        <w:rPr>
          <w:rFonts w:ascii="Times New Roman" w:hAnsi="Times New Roman" w:cs="Times New Roman"/>
          <w:lang w:eastAsia="sk-SK"/>
        </w:rPr>
      </w:pPr>
    </w:p>
    <w:p w:rsidR="00AF018B" w:rsidRPr="00AF018B" w:rsidRDefault="00AF018B" w:rsidP="00AF018B">
      <w:pPr>
        <w:jc w:val="both"/>
        <w:rPr>
          <w:rFonts w:ascii="Times New Roman" w:hAnsi="Times New Roman" w:cs="Times New Roman"/>
          <w:lang w:eastAsia="sk-SK"/>
        </w:rPr>
      </w:pPr>
    </w:p>
    <w:p w:rsidR="00AF018B" w:rsidRPr="00AF018B" w:rsidRDefault="00AF018B" w:rsidP="00AF018B">
      <w:pPr>
        <w:jc w:val="both"/>
        <w:rPr>
          <w:rFonts w:ascii="Times New Roman" w:hAnsi="Times New Roman" w:cs="Times New Roman"/>
          <w:lang w:eastAsia="sk-SK"/>
        </w:rPr>
      </w:pPr>
    </w:p>
    <w:sectPr w:rsidR="00AF018B" w:rsidRPr="00AF018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877" w:rsidRDefault="00047877" w:rsidP="00047877">
      <w:pPr>
        <w:spacing w:after="0" w:line="240" w:lineRule="auto"/>
      </w:pPr>
      <w:r>
        <w:separator/>
      </w:r>
    </w:p>
  </w:endnote>
  <w:endnote w:type="continuationSeparator" w:id="0">
    <w:p w:rsidR="00047877" w:rsidRDefault="00047877" w:rsidP="00047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77" w:rsidRDefault="0004787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77" w:rsidRDefault="0004787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77" w:rsidRDefault="000478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877" w:rsidRDefault="00047877" w:rsidP="00047877">
      <w:pPr>
        <w:spacing w:after="0" w:line="240" w:lineRule="auto"/>
      </w:pPr>
      <w:r>
        <w:separator/>
      </w:r>
    </w:p>
  </w:footnote>
  <w:footnote w:type="continuationSeparator" w:id="0">
    <w:p w:rsidR="00047877" w:rsidRDefault="00047877" w:rsidP="00047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77" w:rsidRDefault="000478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77" w:rsidRDefault="000478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77" w:rsidRDefault="000478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64E"/>
    <w:rsid w:val="00047877"/>
    <w:rsid w:val="0019764E"/>
    <w:rsid w:val="004C0482"/>
    <w:rsid w:val="00746313"/>
    <w:rsid w:val="00954036"/>
    <w:rsid w:val="00AF018B"/>
    <w:rsid w:val="00B252F5"/>
    <w:rsid w:val="00B738A2"/>
    <w:rsid w:val="00B81903"/>
    <w:rsid w:val="00C5369F"/>
    <w:rsid w:val="00FE20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EB02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next w:val="Normal"/>
    <w:link w:val="Heading2Char"/>
    <w:uiPriority w:val="9"/>
    <w:unhideWhenUsed/>
    <w:qFormat/>
    <w:rsid w:val="00C5369F"/>
    <w:pPr>
      <w:keepNext/>
      <w:keepLines/>
      <w:spacing w:after="108" w:line="249" w:lineRule="auto"/>
      <w:ind w:left="10" w:hanging="10"/>
      <w:outlineLvl w:val="1"/>
    </w:pPr>
    <w:rPr>
      <w:rFonts w:ascii="Calibri" w:eastAsia="Calibri" w:hAnsi="Calibri" w:cs="Calibri"/>
      <w:b/>
      <w:color w:val="000000"/>
      <w:lang w:eastAsia="sk-SK"/>
    </w:rPr>
  </w:style>
  <w:style w:type="paragraph" w:styleId="Heading3">
    <w:name w:val="heading 3"/>
    <w:basedOn w:val="Normal"/>
    <w:next w:val="Normal"/>
    <w:link w:val="Heading3Char"/>
    <w:uiPriority w:val="9"/>
    <w:semiHidden/>
    <w:unhideWhenUsed/>
    <w:qFormat/>
    <w:rsid w:val="00AF018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F018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3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5369F"/>
    <w:rPr>
      <w:rFonts w:ascii="Calibri" w:eastAsia="Calibri" w:hAnsi="Calibri" w:cs="Calibri"/>
      <w:b/>
      <w:color w:val="000000"/>
      <w:lang w:eastAsia="sk-SK"/>
    </w:rPr>
  </w:style>
  <w:style w:type="paragraph" w:styleId="Header">
    <w:name w:val="header"/>
    <w:basedOn w:val="Normal"/>
    <w:link w:val="HeaderChar"/>
    <w:uiPriority w:val="99"/>
    <w:unhideWhenUsed/>
    <w:rsid w:val="00047877"/>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7877"/>
  </w:style>
  <w:style w:type="paragraph" w:styleId="Footer">
    <w:name w:val="footer"/>
    <w:basedOn w:val="Normal"/>
    <w:link w:val="FooterChar"/>
    <w:uiPriority w:val="99"/>
    <w:unhideWhenUsed/>
    <w:rsid w:val="00047877"/>
    <w:pPr>
      <w:tabs>
        <w:tab w:val="center" w:pos="4536"/>
        <w:tab w:val="right" w:pos="9072"/>
      </w:tabs>
      <w:spacing w:after="0" w:line="240" w:lineRule="auto"/>
    </w:pPr>
  </w:style>
  <w:style w:type="character" w:customStyle="1" w:styleId="FooterChar">
    <w:name w:val="Footer Char"/>
    <w:basedOn w:val="DefaultParagraphFont"/>
    <w:link w:val="Footer"/>
    <w:uiPriority w:val="99"/>
    <w:rsid w:val="00047877"/>
  </w:style>
  <w:style w:type="character" w:customStyle="1" w:styleId="Heading3Char">
    <w:name w:val="Heading 3 Char"/>
    <w:basedOn w:val="DefaultParagraphFont"/>
    <w:link w:val="Heading3"/>
    <w:uiPriority w:val="9"/>
    <w:semiHidden/>
    <w:rsid w:val="00AF018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AF018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1284</Words>
  <Characters>7323</Characters>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2024-09-25T10:59:00Z</dcterms:created>
  <dcterms:modified xsi:type="dcterms:W3CDTF">2024-09-25T11:58:00Z</dcterms:modified>
</cp:coreProperties>
</file>