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7F82" w14:textId="46350405" w:rsidR="00D27262" w:rsidRPr="00855166" w:rsidRDefault="00D27262" w:rsidP="0023035F">
      <w:pPr>
        <w:pStyle w:val="Default"/>
        <w:spacing w:line="276" w:lineRule="auto"/>
        <w:ind w:left="-284"/>
        <w:rPr>
          <w:b/>
          <w:bCs/>
          <w:sz w:val="22"/>
          <w:szCs w:val="22"/>
        </w:rPr>
      </w:pPr>
      <w:bookmarkStart w:id="0" w:name="_Toc80022234"/>
      <w:bookmarkStart w:id="1" w:name="_Toc84313344"/>
      <w:bookmarkStart w:id="2" w:name="_Toc432717"/>
      <w:r w:rsidRPr="00855166">
        <w:rPr>
          <w:b/>
          <w:bCs/>
          <w:sz w:val="22"/>
          <w:szCs w:val="22"/>
        </w:rPr>
        <w:t>P</w:t>
      </w:r>
      <w:r w:rsidR="00900F02">
        <w:rPr>
          <w:b/>
          <w:bCs/>
          <w:sz w:val="22"/>
          <w:szCs w:val="22"/>
        </w:rPr>
        <w:t>ríloha</w:t>
      </w:r>
      <w:r w:rsidRPr="00855166">
        <w:rPr>
          <w:b/>
          <w:bCs/>
          <w:sz w:val="22"/>
          <w:szCs w:val="22"/>
        </w:rPr>
        <w:t xml:space="preserve"> č.</w:t>
      </w:r>
      <w:r w:rsidR="00900F02">
        <w:rPr>
          <w:b/>
          <w:bCs/>
          <w:sz w:val="22"/>
          <w:szCs w:val="22"/>
        </w:rPr>
        <w:t xml:space="preserve">8 SP – Príloha č. </w:t>
      </w:r>
      <w:r w:rsidR="00855166" w:rsidRPr="00855166">
        <w:rPr>
          <w:b/>
          <w:bCs/>
          <w:sz w:val="22"/>
          <w:szCs w:val="22"/>
        </w:rPr>
        <w:t>2</w:t>
      </w:r>
      <w:r w:rsidRPr="00855166">
        <w:rPr>
          <w:b/>
          <w:bCs/>
          <w:sz w:val="22"/>
          <w:szCs w:val="22"/>
        </w:rPr>
        <w:t xml:space="preserve"> RD</w:t>
      </w:r>
    </w:p>
    <w:p w14:paraId="1285E003" w14:textId="77777777" w:rsidR="00D27262" w:rsidRDefault="00D27262" w:rsidP="0023035F">
      <w:pPr>
        <w:pStyle w:val="Default"/>
        <w:spacing w:line="276" w:lineRule="auto"/>
        <w:ind w:left="-284"/>
        <w:rPr>
          <w:sz w:val="22"/>
          <w:szCs w:val="22"/>
        </w:rPr>
      </w:pPr>
    </w:p>
    <w:p w14:paraId="5509632D" w14:textId="33745FA4" w:rsidR="0023035F" w:rsidRDefault="00DE5F61" w:rsidP="0023035F">
      <w:pPr>
        <w:pStyle w:val="Default"/>
        <w:spacing w:line="276" w:lineRule="auto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Verejný obstarávateľ:         </w:t>
      </w:r>
      <w:r w:rsidRPr="004C50B3">
        <w:rPr>
          <w:sz w:val="22"/>
          <w:szCs w:val="22"/>
        </w:rPr>
        <w:t>Správa ciest Košického samosprávneho kraja</w:t>
      </w:r>
      <w:r>
        <w:rPr>
          <w:b/>
          <w:bCs/>
          <w:sz w:val="22"/>
          <w:szCs w:val="22"/>
        </w:rPr>
        <w:t xml:space="preserve"> </w:t>
      </w:r>
    </w:p>
    <w:p w14:paraId="724AA001" w14:textId="77777777" w:rsidR="00922270" w:rsidRDefault="00DE5F61" w:rsidP="0023035F">
      <w:pPr>
        <w:pStyle w:val="Default"/>
        <w:spacing w:line="276" w:lineRule="auto"/>
        <w:ind w:left="-284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Názov predmetu zákazky:  </w:t>
      </w:r>
      <w:r w:rsidR="007C646B">
        <w:rPr>
          <w:b/>
          <w:bCs/>
          <w:sz w:val="22"/>
          <w:szCs w:val="22"/>
        </w:rPr>
        <w:t>Katiónaktívna emulzia</w:t>
      </w:r>
      <w:r w:rsidR="0023035F">
        <w:rPr>
          <w:b/>
          <w:bCs/>
          <w:sz w:val="22"/>
          <w:szCs w:val="22"/>
        </w:rPr>
        <w:t xml:space="preserve"> a kamenivo pre vysprávky ciest </w:t>
      </w:r>
    </w:p>
    <w:p w14:paraId="0F507340" w14:textId="6A114B10" w:rsidR="007C646B" w:rsidRPr="00922270" w:rsidRDefault="00922270" w:rsidP="00922270">
      <w:pPr>
        <w:pStyle w:val="Default"/>
        <w:spacing w:line="276" w:lineRule="auto"/>
        <w:ind w:left="-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</w:t>
      </w:r>
      <w:r w:rsidR="0023035F">
        <w:rPr>
          <w:b/>
          <w:bCs/>
          <w:sz w:val="22"/>
          <w:szCs w:val="22"/>
        </w:rPr>
        <w:t xml:space="preserve">tryskovou  </w:t>
      </w:r>
      <w:r>
        <w:rPr>
          <w:b/>
          <w:bCs/>
          <w:sz w:val="22"/>
          <w:szCs w:val="22"/>
        </w:rPr>
        <w:t>m</w:t>
      </w:r>
      <w:r w:rsidR="0023035F">
        <w:rPr>
          <w:b/>
          <w:bCs/>
          <w:sz w:val="22"/>
          <w:szCs w:val="22"/>
        </w:rPr>
        <w:t>etódou</w:t>
      </w:r>
    </w:p>
    <w:p w14:paraId="3313DC14" w14:textId="77777777" w:rsidR="00922270" w:rsidRDefault="00922270" w:rsidP="007C646B">
      <w:pPr>
        <w:pStyle w:val="Default"/>
        <w:spacing w:line="276" w:lineRule="auto"/>
        <w:ind w:left="-284"/>
        <w:jc w:val="both"/>
        <w:rPr>
          <w:b/>
          <w:bCs/>
          <w:sz w:val="22"/>
          <w:szCs w:val="22"/>
        </w:rPr>
      </w:pPr>
    </w:p>
    <w:p w14:paraId="0E9F339F" w14:textId="77777777" w:rsidR="00922270" w:rsidRDefault="00922270" w:rsidP="007C646B">
      <w:pPr>
        <w:pStyle w:val="Default"/>
        <w:spacing w:line="276" w:lineRule="auto"/>
        <w:ind w:left="-284"/>
        <w:jc w:val="both"/>
        <w:rPr>
          <w:b/>
          <w:bCs/>
          <w:sz w:val="22"/>
          <w:szCs w:val="22"/>
        </w:rPr>
      </w:pPr>
    </w:p>
    <w:p w14:paraId="17930525" w14:textId="77777777" w:rsidR="00DE5F61" w:rsidRDefault="00DE5F61" w:rsidP="00DE5F61">
      <w:pPr>
        <w:pStyle w:val="Default"/>
        <w:ind w:left="-284"/>
        <w:rPr>
          <w:b/>
          <w:bCs/>
          <w:sz w:val="22"/>
          <w:szCs w:val="22"/>
        </w:rPr>
      </w:pPr>
    </w:p>
    <w:p w14:paraId="7E39209F" w14:textId="77777777" w:rsidR="00DE5F61" w:rsidRPr="001D7276" w:rsidRDefault="00DE5F61" w:rsidP="00DE5F61">
      <w:pPr>
        <w:pStyle w:val="Default"/>
        <w:pBdr>
          <w:bottom w:val="single" w:sz="4" w:space="1" w:color="auto"/>
        </w:pBdr>
        <w:shd w:val="clear" w:color="auto" w:fill="DEEAF6" w:themeFill="accent5" w:themeFillTint="33"/>
        <w:ind w:left="-284"/>
        <w:rPr>
          <w:b/>
          <w:bCs/>
        </w:rPr>
      </w:pPr>
      <w:r w:rsidRPr="001D7276">
        <w:rPr>
          <w:b/>
          <w:bCs/>
        </w:rPr>
        <w:t>Opis predmetu zákazky</w:t>
      </w:r>
    </w:p>
    <w:p w14:paraId="70A57F33" w14:textId="77777777" w:rsidR="00B17F12" w:rsidRDefault="00B17F12" w:rsidP="00DE5F61">
      <w:pPr>
        <w:ind w:left="576"/>
        <w:rPr>
          <w:b/>
        </w:rPr>
      </w:pPr>
    </w:p>
    <w:p w14:paraId="180DC915" w14:textId="77777777" w:rsidR="00BA0531" w:rsidRDefault="00B17F12" w:rsidP="004C1423">
      <w:pPr>
        <w:spacing w:after="0"/>
        <w:ind w:left="-426"/>
        <w:rPr>
          <w:b/>
          <w:sz w:val="24"/>
          <w:szCs w:val="24"/>
        </w:rPr>
      </w:pPr>
      <w:r>
        <w:rPr>
          <w:b/>
        </w:rPr>
        <w:t xml:space="preserve">  </w:t>
      </w:r>
      <w:r w:rsidRPr="00EE2F4F">
        <w:rPr>
          <w:b/>
          <w:sz w:val="24"/>
          <w:szCs w:val="24"/>
        </w:rPr>
        <w:t>Predmet zákazky:</w:t>
      </w:r>
      <w:bookmarkEnd w:id="0"/>
      <w:bookmarkEnd w:id="1"/>
    </w:p>
    <w:p w14:paraId="09ECA08F" w14:textId="77777777" w:rsidR="000C634F" w:rsidRDefault="000C634F" w:rsidP="004C1423">
      <w:pPr>
        <w:spacing w:after="0"/>
        <w:ind w:left="-426"/>
        <w:rPr>
          <w:b/>
          <w:sz w:val="24"/>
          <w:szCs w:val="24"/>
        </w:rPr>
      </w:pPr>
    </w:p>
    <w:p w14:paraId="0C21D734" w14:textId="77777777" w:rsidR="00DD0BAD" w:rsidRDefault="000C634F" w:rsidP="000C634F">
      <w:pPr>
        <w:spacing w:after="0" w:line="240" w:lineRule="auto"/>
        <w:ind w:left="-284"/>
        <w:jc w:val="left"/>
        <w:rPr>
          <w:bCs/>
        </w:rPr>
      </w:pPr>
      <w:r w:rsidRPr="000C634F">
        <w:rPr>
          <w:bCs/>
        </w:rPr>
        <w:t xml:space="preserve">Predmetom zákazky je </w:t>
      </w:r>
      <w:r>
        <w:rPr>
          <w:bCs/>
        </w:rPr>
        <w:t>nákup</w:t>
      </w:r>
      <w:r w:rsidRPr="000C634F">
        <w:rPr>
          <w:bCs/>
        </w:rPr>
        <w:t xml:space="preserve"> katiónaktívnej asfaltovej emulzie a drveného kameniva </w:t>
      </w:r>
      <w:r>
        <w:rPr>
          <w:bCs/>
        </w:rPr>
        <w:t xml:space="preserve"> vráta</w:t>
      </w:r>
      <w:r w:rsidR="001A22AD">
        <w:rPr>
          <w:bCs/>
        </w:rPr>
        <w:t xml:space="preserve">ne dopravy, </w:t>
      </w:r>
      <w:r w:rsidRPr="000C634F">
        <w:rPr>
          <w:bCs/>
        </w:rPr>
        <w:t xml:space="preserve">určených pre vysprávkové technológie tryskovou metódou </w:t>
      </w:r>
      <w:r w:rsidR="00051196">
        <w:rPr>
          <w:bCs/>
        </w:rPr>
        <w:t xml:space="preserve"> (vysprávkovými súpravami Turbo) </w:t>
      </w:r>
      <w:r w:rsidR="00DD0BAD">
        <w:rPr>
          <w:bCs/>
        </w:rPr>
        <w:t xml:space="preserve">na </w:t>
      </w:r>
      <w:r w:rsidRPr="000C634F">
        <w:rPr>
          <w:bCs/>
        </w:rPr>
        <w:t>údrž</w:t>
      </w:r>
      <w:r w:rsidR="00DD0BAD">
        <w:rPr>
          <w:bCs/>
        </w:rPr>
        <w:t xml:space="preserve">bu </w:t>
      </w:r>
      <w:r>
        <w:rPr>
          <w:bCs/>
        </w:rPr>
        <w:t>ciest</w:t>
      </w:r>
      <w:r w:rsidRPr="000C634F">
        <w:rPr>
          <w:bCs/>
        </w:rPr>
        <w:t xml:space="preserve"> v </w:t>
      </w:r>
      <w:r>
        <w:rPr>
          <w:bCs/>
        </w:rPr>
        <w:t>Košickom</w:t>
      </w:r>
      <w:r w:rsidRPr="000C634F">
        <w:rPr>
          <w:bCs/>
        </w:rPr>
        <w:t xml:space="preserve"> samosprávnom kraji a to v súlade s požadovanou technickou špecifikáciou </w:t>
      </w:r>
    </w:p>
    <w:p w14:paraId="2ABC1F51" w14:textId="719F6CE7" w:rsidR="000C634F" w:rsidRDefault="000C634F" w:rsidP="000C634F">
      <w:pPr>
        <w:spacing w:after="0" w:line="240" w:lineRule="auto"/>
        <w:ind w:left="-284"/>
        <w:jc w:val="left"/>
        <w:rPr>
          <w:bCs/>
        </w:rPr>
      </w:pPr>
      <w:r w:rsidRPr="000C634F">
        <w:rPr>
          <w:bCs/>
        </w:rPr>
        <w:t>a obchodnými podmienkami plnenia stanovenými objednávateľom.</w:t>
      </w:r>
    </w:p>
    <w:p w14:paraId="274F29ED" w14:textId="60A6BD89" w:rsidR="007C646B" w:rsidRPr="00104875" w:rsidRDefault="007C646B" w:rsidP="00104875">
      <w:pPr>
        <w:spacing w:after="0" w:line="240" w:lineRule="auto"/>
        <w:ind w:left="-284"/>
        <w:jc w:val="left"/>
        <w:rPr>
          <w:bCs/>
        </w:rPr>
      </w:pPr>
      <w:bookmarkStart w:id="3" w:name="_Toc80022235"/>
      <w:bookmarkStart w:id="4" w:name="_Toc84313345"/>
      <w:r w:rsidRPr="008014A7">
        <w:rPr>
          <w:bCs/>
        </w:rPr>
        <w:t xml:space="preserve">Nákup katiónaktívnej asfaltovej emulzie </w:t>
      </w:r>
      <w:r w:rsidR="006846B7">
        <w:rPr>
          <w:bCs/>
        </w:rPr>
        <w:t xml:space="preserve">a kameniva </w:t>
      </w:r>
      <w:r w:rsidR="00104875">
        <w:rPr>
          <w:bCs/>
        </w:rPr>
        <w:t>bude realizovaný na základe</w:t>
      </w:r>
      <w:r w:rsidRPr="00104875">
        <w:rPr>
          <w:bCs/>
        </w:rPr>
        <w:t xml:space="preserve"> priebežných mailových objednávok </w:t>
      </w:r>
      <w:r w:rsidR="00104875" w:rsidRPr="00104875">
        <w:rPr>
          <w:bCs/>
        </w:rPr>
        <w:t xml:space="preserve">verejného </w:t>
      </w:r>
      <w:r w:rsidRPr="00104875">
        <w:rPr>
          <w:bCs/>
        </w:rPr>
        <w:t>obstarávateľa</w:t>
      </w:r>
    </w:p>
    <w:p w14:paraId="4D78EFD5" w14:textId="77777777" w:rsidR="007C646B" w:rsidRPr="008014A7" w:rsidRDefault="007C646B" w:rsidP="007C646B">
      <w:pPr>
        <w:pStyle w:val="Bezriadkovania"/>
        <w:ind w:left="360"/>
        <w:rPr>
          <w:rFonts w:ascii="Times New Roman" w:hAnsi="Times New Roman" w:cs="Times New Roman"/>
        </w:rPr>
      </w:pPr>
    </w:p>
    <w:p w14:paraId="75EFE4E7" w14:textId="77777777" w:rsidR="00655554" w:rsidRDefault="006368FF" w:rsidP="00655554">
      <w:pPr>
        <w:ind w:left="-426"/>
        <w:rPr>
          <w:b/>
          <w:sz w:val="24"/>
          <w:szCs w:val="24"/>
        </w:rPr>
      </w:pPr>
      <w:r w:rsidRPr="004B0F35">
        <w:rPr>
          <w:b/>
          <w:sz w:val="24"/>
          <w:szCs w:val="24"/>
        </w:rPr>
        <w:t xml:space="preserve">   </w:t>
      </w:r>
      <w:r w:rsidRPr="00EE2F4F">
        <w:rPr>
          <w:b/>
          <w:sz w:val="24"/>
          <w:szCs w:val="24"/>
        </w:rPr>
        <w:t>Opis tovaru</w:t>
      </w:r>
      <w:bookmarkEnd w:id="3"/>
      <w:bookmarkEnd w:id="4"/>
      <w:r w:rsidR="00CE1C83" w:rsidRPr="00EE2F4F">
        <w:rPr>
          <w:b/>
          <w:sz w:val="24"/>
          <w:szCs w:val="24"/>
        </w:rPr>
        <w:t>:</w:t>
      </w:r>
    </w:p>
    <w:p w14:paraId="02D80F37" w14:textId="496A58BD" w:rsidR="005E6512" w:rsidRDefault="005E6512" w:rsidP="005E6512">
      <w:pPr>
        <w:ind w:left="-426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="00655554" w:rsidRPr="005E6512">
        <w:rPr>
          <w:b/>
          <w:sz w:val="24"/>
          <w:szCs w:val="24"/>
          <w:u w:val="single"/>
          <w:shd w:val="clear" w:color="auto" w:fill="E2EFD9" w:themeFill="accent6" w:themeFillTint="33"/>
        </w:rPr>
        <w:t>Katiónaktívna emulzia</w:t>
      </w:r>
    </w:p>
    <w:p w14:paraId="4FFA6F30" w14:textId="1F0A6342" w:rsidR="005E6512" w:rsidRDefault="005E6512" w:rsidP="005E6512">
      <w:pPr>
        <w:spacing w:after="0"/>
        <w:ind w:left="-426"/>
      </w:pPr>
      <w:r>
        <w:t xml:space="preserve">    </w:t>
      </w:r>
      <w:r w:rsidR="007C646B" w:rsidRPr="005E6512">
        <w:t xml:space="preserve">Katiónaktívna asfaltová emulzia (nemodifikované spojivo) </w:t>
      </w:r>
      <w:r w:rsidR="008F5647">
        <w:t xml:space="preserve">je </w:t>
      </w:r>
      <w:r w:rsidR="007C646B" w:rsidRPr="005E6512">
        <w:t>určená pre postreky a pre náterové</w:t>
      </w:r>
      <w:r>
        <w:t xml:space="preserve"> </w:t>
      </w:r>
    </w:p>
    <w:p w14:paraId="19446EDB" w14:textId="2F7B43D6" w:rsidR="007C646B" w:rsidRPr="005E6512" w:rsidRDefault="005E6512" w:rsidP="005E6512">
      <w:pPr>
        <w:spacing w:after="0"/>
        <w:ind w:left="-426"/>
        <w:rPr>
          <w:b/>
          <w:sz w:val="24"/>
          <w:szCs w:val="24"/>
          <w:u w:val="single"/>
        </w:rPr>
      </w:pPr>
      <w:r>
        <w:t xml:space="preserve">    </w:t>
      </w:r>
      <w:r w:rsidR="007C646B" w:rsidRPr="005E6512">
        <w:t>a  vysprávkové technológie údržby cestného telesa a vozoviek na cestách II. a III. triedy.</w:t>
      </w:r>
    </w:p>
    <w:p w14:paraId="20A1D3FA" w14:textId="77777777" w:rsidR="007C646B" w:rsidRPr="00E319AC" w:rsidRDefault="007C646B" w:rsidP="005E6512">
      <w:pPr>
        <w:pStyle w:val="Odsekzoznamu"/>
        <w:spacing w:after="0" w:line="240" w:lineRule="auto"/>
        <w:ind w:left="170"/>
        <w:rPr>
          <w:rFonts w:ascii="Times New Roman" w:hAnsi="Times New Roman" w:cs="Times New Roman"/>
        </w:rPr>
      </w:pPr>
    </w:p>
    <w:p w14:paraId="2948E553" w14:textId="57AE9BAE" w:rsidR="007C646B" w:rsidRPr="0080274D" w:rsidRDefault="0023035F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Požiadavky </w:t>
      </w:r>
      <w:r w:rsidR="00226157">
        <w:rPr>
          <w:rFonts w:ascii="Times New Roman" w:hAnsi="Times New Roman" w:cs="Times New Roman"/>
          <w:sz w:val="24"/>
          <w:u w:val="single"/>
        </w:rPr>
        <w:t>n</w:t>
      </w:r>
      <w:r>
        <w:rPr>
          <w:rFonts w:ascii="Times New Roman" w:hAnsi="Times New Roman" w:cs="Times New Roman"/>
          <w:sz w:val="24"/>
          <w:u w:val="single"/>
        </w:rPr>
        <w:t>a druh</w:t>
      </w:r>
      <w:r w:rsidR="007C646B" w:rsidRPr="0080274D">
        <w:rPr>
          <w:rFonts w:ascii="Times New Roman" w:hAnsi="Times New Roman" w:cs="Times New Roman"/>
          <w:sz w:val="24"/>
          <w:u w:val="single"/>
        </w:rPr>
        <w:t xml:space="preserve"> emulzie</w:t>
      </w:r>
      <w:r w:rsidR="007C646B" w:rsidRPr="0080274D">
        <w:rPr>
          <w:rFonts w:ascii="Times New Roman" w:hAnsi="Times New Roman" w:cs="Times New Roman"/>
          <w:sz w:val="24"/>
        </w:rPr>
        <w:t>:</w:t>
      </w:r>
    </w:p>
    <w:p w14:paraId="4754D8AC" w14:textId="6D0D9CB0" w:rsidR="007C646B" w:rsidRDefault="0023035F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C646B" w:rsidRPr="00E319AC">
        <w:rPr>
          <w:rFonts w:ascii="Times New Roman" w:hAnsi="Times New Roman" w:cs="Times New Roman"/>
        </w:rPr>
        <w:t>mulzi</w:t>
      </w:r>
      <w:r>
        <w:rPr>
          <w:rFonts w:ascii="Times New Roman" w:hAnsi="Times New Roman" w:cs="Times New Roman"/>
        </w:rPr>
        <w:t xml:space="preserve">a </w:t>
      </w:r>
      <w:r w:rsidR="007C646B" w:rsidRPr="00E319AC">
        <w:rPr>
          <w:rFonts w:ascii="Times New Roman" w:hAnsi="Times New Roman" w:cs="Times New Roman"/>
        </w:rPr>
        <w:t xml:space="preserve"> C60 B4  -  </w:t>
      </w:r>
      <w:r>
        <w:rPr>
          <w:rFonts w:ascii="Times New Roman" w:hAnsi="Times New Roman" w:cs="Times New Roman"/>
        </w:rPr>
        <w:t>obsahuje min.množstvo</w:t>
      </w:r>
      <w:r w:rsidRPr="00E319AC">
        <w:rPr>
          <w:rFonts w:ascii="Times New Roman" w:hAnsi="Times New Roman" w:cs="Times New Roman"/>
        </w:rPr>
        <w:t xml:space="preserve"> asfaltu</w:t>
      </w:r>
      <w:r>
        <w:rPr>
          <w:rFonts w:ascii="Times New Roman" w:hAnsi="Times New Roman" w:cs="Times New Roman"/>
        </w:rPr>
        <w:t>:</w:t>
      </w:r>
      <w:r w:rsidR="007C646B" w:rsidRPr="00E319AC">
        <w:rPr>
          <w:rFonts w:ascii="Times New Roman" w:hAnsi="Times New Roman" w:cs="Times New Roman"/>
        </w:rPr>
        <w:t xml:space="preserve"> 58 - 62 %</w:t>
      </w:r>
    </w:p>
    <w:p w14:paraId="0B702A4B" w14:textId="77777777" w:rsidR="007C646B" w:rsidRPr="00E319AC" w:rsidRDefault="007C646B" w:rsidP="007C646B">
      <w:pPr>
        <w:pStyle w:val="Odsekzoznamu"/>
        <w:spacing w:after="0" w:line="240" w:lineRule="auto"/>
        <w:ind w:left="1080"/>
        <w:rPr>
          <w:rFonts w:ascii="Times New Roman" w:hAnsi="Times New Roman" w:cs="Times New Roman"/>
        </w:rPr>
      </w:pPr>
    </w:p>
    <w:p w14:paraId="03D6D8B9" w14:textId="77777777" w:rsidR="007C646B" w:rsidRPr="00741036" w:rsidRDefault="007C646B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41036">
        <w:rPr>
          <w:rFonts w:ascii="Times New Roman" w:hAnsi="Times New Roman" w:cs="Times New Roman"/>
          <w:sz w:val="24"/>
          <w:u w:val="single"/>
        </w:rPr>
        <w:t>Požiadavky na dodanie/balenie</w:t>
      </w:r>
      <w:r w:rsidRPr="00741036">
        <w:rPr>
          <w:rFonts w:ascii="Times New Roman" w:hAnsi="Times New Roman" w:cs="Times New Roman"/>
          <w:sz w:val="24"/>
        </w:rPr>
        <w:t>:</w:t>
      </w:r>
    </w:p>
    <w:p w14:paraId="3F14C121" w14:textId="49D293E6" w:rsidR="007C646B" w:rsidRDefault="007C646B">
      <w:pPr>
        <w:pStyle w:val="Odsekzoznamu"/>
        <w:numPr>
          <w:ilvl w:val="0"/>
          <w:numId w:val="15"/>
        </w:numPr>
        <w:spacing w:after="0"/>
        <w:ind w:left="720"/>
        <w:rPr>
          <w:rFonts w:ascii="Times New Roman" w:hAnsi="Times New Roman" w:cs="Times New Roman"/>
        </w:rPr>
      </w:pPr>
      <w:r w:rsidRPr="00741036">
        <w:rPr>
          <w:rFonts w:ascii="Times New Roman" w:hAnsi="Times New Roman" w:cs="Times New Roman"/>
        </w:rPr>
        <w:t>emulzia C60 B4</w:t>
      </w:r>
      <w:r w:rsidR="0023035F">
        <w:rPr>
          <w:rFonts w:ascii="Times New Roman" w:hAnsi="Times New Roman" w:cs="Times New Roman"/>
        </w:rPr>
        <w:t xml:space="preserve">  sa dodáva </w:t>
      </w:r>
      <w:r w:rsidRPr="00741036">
        <w:rPr>
          <w:rFonts w:ascii="Times New Roman" w:hAnsi="Times New Roman" w:cs="Times New Roman"/>
        </w:rPr>
        <w:t>v špeciálnych cisternách</w:t>
      </w:r>
    </w:p>
    <w:p w14:paraId="06F35728" w14:textId="77777777" w:rsidR="007C646B" w:rsidRPr="00741036" w:rsidRDefault="007C646B" w:rsidP="0023035F">
      <w:pPr>
        <w:pStyle w:val="Odsekzoznamu"/>
        <w:spacing w:after="0"/>
        <w:ind w:left="1080"/>
        <w:rPr>
          <w:rFonts w:ascii="Times New Roman" w:hAnsi="Times New Roman" w:cs="Times New Roman"/>
        </w:rPr>
      </w:pPr>
    </w:p>
    <w:p w14:paraId="6E5155E4" w14:textId="77777777" w:rsidR="007C646B" w:rsidRPr="001D7276" w:rsidRDefault="007C646B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Cs w:val="20"/>
        </w:rPr>
      </w:pPr>
      <w:r w:rsidRPr="001D7276">
        <w:rPr>
          <w:rFonts w:ascii="Times New Roman" w:hAnsi="Times New Roman" w:cs="Times New Roman"/>
          <w:szCs w:val="20"/>
        </w:rPr>
        <w:t>Skladovateľnosť:  min. 3 mesiace</w:t>
      </w:r>
    </w:p>
    <w:p w14:paraId="75F5FAB9" w14:textId="77777777" w:rsidR="007C646B" w:rsidRPr="008014A7" w:rsidRDefault="007C646B" w:rsidP="007C646B">
      <w:pPr>
        <w:rPr>
          <w:u w:val="single"/>
        </w:rPr>
      </w:pPr>
      <w:r w:rsidRPr="008014A7">
        <w:rPr>
          <w:u w:val="single"/>
        </w:rPr>
        <w:t>Katiónaktívne asfaltové emulzie musia spĺňať technické podmienky uvedené v:</w:t>
      </w:r>
      <w:r w:rsidRPr="008014A7">
        <w:rPr>
          <w:u w:val="single"/>
        </w:rPr>
        <w:tab/>
      </w:r>
    </w:p>
    <w:p w14:paraId="78A0706F" w14:textId="38AD8C94" w:rsidR="007C646B" w:rsidRDefault="007C646B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0"/>
        </w:rPr>
      </w:pPr>
      <w:r w:rsidRPr="002F6452">
        <w:rPr>
          <w:rFonts w:ascii="Times New Roman" w:hAnsi="Times New Roman" w:cs="Times New Roman"/>
          <w:szCs w:val="20"/>
        </w:rPr>
        <w:t xml:space="preserve">STN EN 13808 - Asfalty a asfaltové spojivá. Súbor požiadaviek na špecifikáciu katiónaktívnych asfaltových emulzií v platnom znení a </w:t>
      </w:r>
      <w:r>
        <w:rPr>
          <w:rFonts w:ascii="Times New Roman" w:hAnsi="Times New Roman" w:cs="Times New Roman"/>
          <w:szCs w:val="20"/>
        </w:rPr>
        <w:t>všetky</w:t>
      </w:r>
      <w:r w:rsidRPr="002F6452">
        <w:rPr>
          <w:rFonts w:ascii="Times New Roman" w:hAnsi="Times New Roman" w:cs="Times New Roman"/>
          <w:szCs w:val="20"/>
        </w:rPr>
        <w:t xml:space="preserve"> príslušné STN</w:t>
      </w:r>
      <w:r>
        <w:rPr>
          <w:rFonts w:ascii="Times New Roman" w:hAnsi="Times New Roman" w:cs="Times New Roman"/>
          <w:szCs w:val="20"/>
        </w:rPr>
        <w:t xml:space="preserve">, </w:t>
      </w:r>
      <w:r w:rsidRPr="002F6452">
        <w:rPr>
          <w:rFonts w:ascii="Times New Roman" w:hAnsi="Times New Roman" w:cs="Times New Roman"/>
          <w:szCs w:val="20"/>
        </w:rPr>
        <w:t xml:space="preserve"> resp. STN EN</w:t>
      </w:r>
    </w:p>
    <w:p w14:paraId="11FFBFD8" w14:textId="5B67BB02" w:rsidR="008F5647" w:rsidRDefault="007C646B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0"/>
        </w:rPr>
      </w:pPr>
      <w:r w:rsidRPr="00C06E7B">
        <w:rPr>
          <w:rFonts w:ascii="Times New Roman" w:hAnsi="Times New Roman" w:cs="Times New Roman"/>
          <w:szCs w:val="20"/>
        </w:rPr>
        <w:t>KLEaZ 1/2021 - Katalógový</w:t>
      </w:r>
      <w:r w:rsidRPr="00FE5C8C">
        <w:rPr>
          <w:rFonts w:ascii="Times New Roman" w:hAnsi="Times New Roman" w:cs="Times New Roman"/>
          <w:szCs w:val="20"/>
        </w:rPr>
        <w:t xml:space="preserve"> list emulzií a</w:t>
      </w:r>
      <w:r w:rsidR="00CC1157">
        <w:rPr>
          <w:rFonts w:ascii="Times New Roman" w:hAnsi="Times New Roman" w:cs="Times New Roman"/>
          <w:szCs w:val="20"/>
        </w:rPr>
        <w:t> </w:t>
      </w:r>
      <w:r w:rsidRPr="00FE5C8C">
        <w:rPr>
          <w:rFonts w:ascii="Times New Roman" w:hAnsi="Times New Roman" w:cs="Times New Roman"/>
          <w:szCs w:val="20"/>
        </w:rPr>
        <w:t>zálievok</w:t>
      </w:r>
      <w:r w:rsidR="00CC1157">
        <w:rPr>
          <w:rFonts w:ascii="Times New Roman" w:hAnsi="Times New Roman" w:cs="Times New Roman"/>
          <w:szCs w:val="20"/>
        </w:rPr>
        <w:t xml:space="preserve">, </w:t>
      </w:r>
      <w:r w:rsidRPr="00FE5C8C">
        <w:rPr>
          <w:rFonts w:ascii="Times New Roman" w:hAnsi="Times New Roman" w:cs="Times New Roman"/>
          <w:szCs w:val="20"/>
        </w:rPr>
        <w:t xml:space="preserve"> vydaný </w:t>
      </w:r>
      <w:r w:rsidR="008F5647">
        <w:rPr>
          <w:rFonts w:ascii="Times New Roman" w:hAnsi="Times New Roman" w:cs="Times New Roman"/>
          <w:szCs w:val="20"/>
        </w:rPr>
        <w:t xml:space="preserve">Ministerstvom dopravy </w:t>
      </w:r>
    </w:p>
    <w:p w14:paraId="3E063B73" w14:textId="6ADD93CE" w:rsidR="007C646B" w:rsidRPr="008F5647" w:rsidRDefault="008F5647" w:rsidP="008F5647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 výstavby </w:t>
      </w:r>
      <w:r w:rsidR="007C646B" w:rsidRPr="00FE5C8C">
        <w:rPr>
          <w:rFonts w:ascii="Times New Roman" w:hAnsi="Times New Roman" w:cs="Times New Roman"/>
          <w:szCs w:val="20"/>
        </w:rPr>
        <w:t>SR</w:t>
      </w:r>
      <w:r>
        <w:rPr>
          <w:rFonts w:ascii="Times New Roman" w:hAnsi="Times New Roman" w:cs="Times New Roman"/>
          <w:szCs w:val="20"/>
        </w:rPr>
        <w:t>, Sekcia cestnej dopravy</w:t>
      </w:r>
      <w:r w:rsidR="007C646B" w:rsidRPr="008F564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a pozemných komunikácií </w:t>
      </w:r>
      <w:r w:rsidR="00CA0EA8">
        <w:rPr>
          <w:rFonts w:ascii="Times New Roman" w:hAnsi="Times New Roman" w:cs="Times New Roman"/>
          <w:szCs w:val="20"/>
        </w:rPr>
        <w:t>s účinnosťou od</w:t>
      </w:r>
      <w:r w:rsidR="007C646B" w:rsidRPr="008F5647">
        <w:rPr>
          <w:rFonts w:ascii="Times New Roman" w:hAnsi="Times New Roman" w:cs="Times New Roman"/>
          <w:szCs w:val="20"/>
        </w:rPr>
        <w:t xml:space="preserve"> 15.12.2021   </w:t>
      </w:r>
    </w:p>
    <w:p w14:paraId="10237EA0" w14:textId="37F0B4F2" w:rsidR="007C646B" w:rsidRPr="00922270" w:rsidRDefault="007C646B">
      <w:pPr>
        <w:pStyle w:val="Styl3"/>
        <w:numPr>
          <w:ilvl w:val="0"/>
          <w:numId w:val="7"/>
        </w:numPr>
        <w:spacing w:after="0" w:line="240" w:lineRule="auto"/>
        <w:jc w:val="both"/>
        <w:rPr>
          <w:sz w:val="18"/>
          <w:szCs w:val="22"/>
        </w:rPr>
      </w:pPr>
      <w:r w:rsidRPr="001D7276">
        <w:rPr>
          <w:rFonts w:ascii="Times New Roman" w:hAnsi="Times New Roman"/>
          <w:sz w:val="22"/>
          <w:szCs w:val="22"/>
        </w:rPr>
        <w:t>V prípade novelizácie noriem a predpisov platia posledné úpravy a</w:t>
      </w:r>
      <w:r w:rsidR="00922270">
        <w:rPr>
          <w:rFonts w:ascii="Times New Roman" w:hAnsi="Times New Roman"/>
          <w:sz w:val="22"/>
          <w:szCs w:val="22"/>
        </w:rPr>
        <w:t> </w:t>
      </w:r>
      <w:r w:rsidRPr="001D7276">
        <w:rPr>
          <w:rFonts w:ascii="Times New Roman" w:hAnsi="Times New Roman"/>
          <w:sz w:val="22"/>
          <w:szCs w:val="22"/>
        </w:rPr>
        <w:t>zmeny</w:t>
      </w:r>
    </w:p>
    <w:p w14:paraId="3476A87A" w14:textId="77777777" w:rsidR="00922270" w:rsidRPr="00173C35" w:rsidRDefault="00922270" w:rsidP="00922270">
      <w:pPr>
        <w:pStyle w:val="Styl3"/>
        <w:spacing w:after="0" w:line="240" w:lineRule="auto"/>
        <w:ind w:left="360"/>
        <w:jc w:val="both"/>
        <w:rPr>
          <w:sz w:val="18"/>
          <w:szCs w:val="22"/>
        </w:rPr>
      </w:pPr>
    </w:p>
    <w:p w14:paraId="3CD395F0" w14:textId="77777777" w:rsidR="00173C35" w:rsidRDefault="00173C35" w:rsidP="00173C35">
      <w:pPr>
        <w:pStyle w:val="Styl3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13D42746" w14:textId="77777777" w:rsidR="005E6512" w:rsidRDefault="005E6512" w:rsidP="005E6512">
      <w:pPr>
        <w:ind w:left="-426"/>
        <w:rPr>
          <w:b/>
          <w:sz w:val="24"/>
          <w:szCs w:val="24"/>
          <w:u w:val="single"/>
        </w:rPr>
      </w:pPr>
      <w:r w:rsidRPr="005E6512">
        <w:rPr>
          <w:b/>
          <w:sz w:val="24"/>
          <w:szCs w:val="24"/>
        </w:rPr>
        <w:t xml:space="preserve">   </w:t>
      </w:r>
      <w:r w:rsidR="00173C35" w:rsidRPr="005E6512">
        <w:rPr>
          <w:b/>
          <w:sz w:val="24"/>
          <w:szCs w:val="24"/>
          <w:u w:val="single"/>
          <w:shd w:val="clear" w:color="auto" w:fill="E2EFD9" w:themeFill="accent6" w:themeFillTint="33"/>
        </w:rPr>
        <w:t>Kamenivo</w:t>
      </w:r>
      <w:bookmarkStart w:id="5" w:name="_Hlk164424959"/>
    </w:p>
    <w:p w14:paraId="30157182" w14:textId="02FC627F" w:rsidR="005E6512" w:rsidRPr="00173C35" w:rsidRDefault="005E6512" w:rsidP="005E6512">
      <w:pPr>
        <w:ind w:left="-284"/>
        <w:rPr>
          <w:b/>
          <w:sz w:val="24"/>
          <w:szCs w:val="24"/>
          <w:u w:val="single"/>
        </w:rPr>
      </w:pPr>
      <w:r w:rsidRPr="003C7B43">
        <w:t xml:space="preserve">Nákup špeciálneho drveného kameniva určeného na použitie pri vysprávkach ciest tryskovou metódou </w:t>
      </w:r>
      <w:r>
        <w:t xml:space="preserve">    </w:t>
      </w:r>
      <w:r w:rsidRPr="003C7B43">
        <w:t>vrátane dopravy do miest dodania</w:t>
      </w:r>
      <w:bookmarkEnd w:id="5"/>
    </w:p>
    <w:p w14:paraId="59FAF09D" w14:textId="59827425" w:rsidR="00B0529C" w:rsidRPr="00AB7AC9" w:rsidRDefault="00B0529C" w:rsidP="005E6512">
      <w:pPr>
        <w:spacing w:after="0"/>
        <w:ind w:left="-284"/>
        <w:rPr>
          <w:bCs/>
          <w:sz w:val="24"/>
          <w:szCs w:val="24"/>
          <w:u w:val="single"/>
        </w:rPr>
      </w:pPr>
      <w:bookmarkStart w:id="6" w:name="_Hlk67382732"/>
      <w:r w:rsidRPr="00AB7AC9">
        <w:rPr>
          <w:bCs/>
          <w:sz w:val="24"/>
          <w:szCs w:val="24"/>
        </w:rPr>
        <w:t xml:space="preserve"> </w:t>
      </w:r>
      <w:r w:rsidRPr="005E6512">
        <w:rPr>
          <w:bCs/>
          <w:sz w:val="24"/>
          <w:szCs w:val="24"/>
          <w:u w:val="single"/>
        </w:rPr>
        <w:t>Technické parametre</w:t>
      </w:r>
      <w:r w:rsidR="00CC1157">
        <w:rPr>
          <w:bCs/>
          <w:sz w:val="24"/>
          <w:szCs w:val="24"/>
          <w:u w:val="single"/>
        </w:rPr>
        <w:t>/požiadavky</w:t>
      </w:r>
      <w:r w:rsidRPr="005E6512">
        <w:rPr>
          <w:bCs/>
          <w:sz w:val="24"/>
          <w:szCs w:val="24"/>
          <w:u w:val="single"/>
        </w:rPr>
        <w:t>:</w:t>
      </w:r>
      <w:r w:rsidRPr="00AB7AC9">
        <w:rPr>
          <w:bCs/>
          <w:sz w:val="24"/>
          <w:szCs w:val="24"/>
          <w:u w:val="single"/>
        </w:rPr>
        <w:t xml:space="preserve"> </w:t>
      </w:r>
    </w:p>
    <w:p w14:paraId="0AED8A22" w14:textId="1539D6F8" w:rsidR="00B0529C" w:rsidRDefault="00CC11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0529C" w:rsidRPr="00AB7AC9">
        <w:rPr>
          <w:rFonts w:ascii="Times New Roman" w:hAnsi="Times New Roman" w:cs="Times New Roman"/>
        </w:rPr>
        <w:t>rnitosť kameniva: 2-4, alebo 2-5 mm</w:t>
      </w:r>
    </w:p>
    <w:p w14:paraId="5185E3E2" w14:textId="77777777" w:rsidR="00CC1157" w:rsidRPr="0010257C" w:rsidRDefault="00CC11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AB7AC9">
        <w:rPr>
          <w:rFonts w:ascii="Times New Roman" w:hAnsi="Times New Roman" w:cs="Times New Roman"/>
        </w:rPr>
        <w:t xml:space="preserve">kvalitatívne parametre také, aby pri výrobe asfaltovej zmesi došlo miešaním kameniva </w:t>
      </w:r>
    </w:p>
    <w:p w14:paraId="24DE04A2" w14:textId="66F8AC34" w:rsidR="00CC1157" w:rsidRPr="00CC1157" w:rsidRDefault="00CC1157" w:rsidP="00CC1157">
      <w:pPr>
        <w:pStyle w:val="Odsekzoznamu"/>
        <w:spacing w:after="0" w:line="240" w:lineRule="auto"/>
        <w:ind w:left="360"/>
        <w:rPr>
          <w:rFonts w:ascii="Times New Roman" w:hAnsi="Times New Roman" w:cs="Times New Roman"/>
        </w:rPr>
      </w:pPr>
      <w:r w:rsidRPr="00AB7AC9">
        <w:rPr>
          <w:rFonts w:ascii="Times New Roman" w:hAnsi="Times New Roman" w:cs="Times New Roman"/>
        </w:rPr>
        <w:t>a asfaltovej emulzie k štiepeniu, pričom jednotlivé kvapky asfaltu sa oddelia od vody a opäť sa vzájomne spoja, t. j. predmet zákazky musí mať také vlastnosti, že na ňom zostane len čistý asfalt</w:t>
      </w:r>
    </w:p>
    <w:p w14:paraId="7464918A" w14:textId="493FA55E" w:rsidR="00CC1157" w:rsidRPr="00CC1157" w:rsidRDefault="00CC1157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AB7AC9">
        <w:rPr>
          <w:rFonts w:ascii="Times New Roman" w:hAnsi="Times New Roman" w:cs="Times New Roman"/>
        </w:rPr>
        <w:t xml:space="preserve">podmienky </w:t>
      </w:r>
      <w:r>
        <w:rPr>
          <w:rFonts w:ascii="Times New Roman" w:hAnsi="Times New Roman" w:cs="Times New Roman"/>
        </w:rPr>
        <w:t>potrebné k</w:t>
      </w:r>
      <w:r w:rsidRPr="00AB7AC9">
        <w:rPr>
          <w:rFonts w:ascii="Times New Roman" w:hAnsi="Times New Roman" w:cs="Times New Roman"/>
        </w:rPr>
        <w:t xml:space="preserve"> využiti</w:t>
      </w:r>
      <w:r>
        <w:rPr>
          <w:rFonts w:ascii="Times New Roman" w:hAnsi="Times New Roman" w:cs="Times New Roman"/>
        </w:rPr>
        <w:t>u</w:t>
      </w:r>
      <w:r w:rsidRPr="00AB7AC9">
        <w:rPr>
          <w:rFonts w:ascii="Times New Roman" w:hAnsi="Times New Roman" w:cs="Times New Roman"/>
        </w:rPr>
        <w:t xml:space="preserve"> pri oprav</w:t>
      </w:r>
      <w:r>
        <w:rPr>
          <w:rFonts w:ascii="Times New Roman" w:hAnsi="Times New Roman" w:cs="Times New Roman"/>
        </w:rPr>
        <w:t>ách</w:t>
      </w:r>
      <w:r w:rsidRPr="00AB7AC9">
        <w:rPr>
          <w:rFonts w:ascii="Times New Roman" w:hAnsi="Times New Roman" w:cs="Times New Roman"/>
        </w:rPr>
        <w:t xml:space="preserve"> ciest za použitia tryskovej technológie TURBO</w:t>
      </w:r>
    </w:p>
    <w:p w14:paraId="41D46C12" w14:textId="77777777" w:rsidR="00CC1157" w:rsidRDefault="00CC1157" w:rsidP="00CC1157">
      <w:pPr>
        <w:pStyle w:val="Odsekzoznamu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34ABF674" w14:textId="77777777" w:rsidR="00922270" w:rsidRDefault="00922270" w:rsidP="00CC1157">
      <w:pPr>
        <w:pStyle w:val="Odsekzoznamu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4853493B" w14:textId="77777777" w:rsidR="00922270" w:rsidRPr="00AB7AC9" w:rsidRDefault="00922270" w:rsidP="00CC1157">
      <w:pPr>
        <w:pStyle w:val="Odsekzoznamu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55D8FEAF" w14:textId="055AAB8E" w:rsidR="00B0529C" w:rsidRPr="00CC1157" w:rsidRDefault="00B0529C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CC1157">
        <w:rPr>
          <w:rFonts w:ascii="Times New Roman" w:hAnsi="Times New Roman" w:cs="Times New Roman"/>
          <w:u w:val="single"/>
        </w:rPr>
        <w:t>Špeciálne drvené kamenivo musí spĺňať</w:t>
      </w:r>
      <w:r w:rsidR="00CA0EA8" w:rsidRPr="00CC1157">
        <w:rPr>
          <w:rFonts w:ascii="Times New Roman" w:hAnsi="Times New Roman" w:cs="Times New Roman"/>
          <w:u w:val="single"/>
        </w:rPr>
        <w:t xml:space="preserve"> technické po</w:t>
      </w:r>
      <w:r w:rsidR="00CC1157">
        <w:rPr>
          <w:rFonts w:ascii="Times New Roman" w:hAnsi="Times New Roman" w:cs="Times New Roman"/>
          <w:u w:val="single"/>
        </w:rPr>
        <w:t>žiadavky</w:t>
      </w:r>
      <w:r w:rsidR="00CA0EA8" w:rsidRPr="00CC1157">
        <w:rPr>
          <w:rFonts w:ascii="Times New Roman" w:hAnsi="Times New Roman" w:cs="Times New Roman"/>
          <w:u w:val="single"/>
        </w:rPr>
        <w:t xml:space="preserve"> uvedené v:</w:t>
      </w:r>
      <w:r w:rsidRPr="00CC1157">
        <w:rPr>
          <w:rFonts w:ascii="Times New Roman" w:hAnsi="Times New Roman" w:cs="Times New Roman"/>
          <w:u w:val="single"/>
        </w:rPr>
        <w:t>:</w:t>
      </w:r>
    </w:p>
    <w:p w14:paraId="65CBDDB9" w14:textId="2EC95094" w:rsidR="00B0529C" w:rsidRPr="00CC1157" w:rsidRDefault="00B0529C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B7AC9">
        <w:rPr>
          <w:rFonts w:ascii="Times New Roman" w:hAnsi="Times New Roman" w:cs="Times New Roman"/>
          <w:bCs/>
        </w:rPr>
        <w:t>STN EN 13043-</w:t>
      </w:r>
      <w:r w:rsidRPr="00AB7AC9">
        <w:rPr>
          <w:rFonts w:ascii="Times New Roman" w:hAnsi="Times New Roman" w:cs="Times New Roman"/>
        </w:rPr>
        <w:t xml:space="preserve"> Kamenivo do bitúmenových zmesí a na nátery ciest, </w:t>
      </w:r>
      <w:r w:rsidRPr="00CC1157">
        <w:rPr>
          <w:rFonts w:ascii="Times New Roman" w:hAnsi="Times New Roman" w:cs="Times New Roman"/>
        </w:rPr>
        <w:t>letísk a iných dopravných plôch</w:t>
      </w:r>
    </w:p>
    <w:p w14:paraId="2176E45B" w14:textId="276E4365" w:rsidR="008F5647" w:rsidRPr="008F5647" w:rsidRDefault="00B0529C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AB7AC9">
        <w:rPr>
          <w:rFonts w:ascii="Times New Roman" w:hAnsi="Times New Roman" w:cs="Times New Roman"/>
          <w:bCs/>
        </w:rPr>
        <w:t>Katalógov</w:t>
      </w:r>
      <w:r w:rsidR="00CA0EA8">
        <w:rPr>
          <w:rFonts w:ascii="Times New Roman" w:hAnsi="Times New Roman" w:cs="Times New Roman"/>
          <w:bCs/>
        </w:rPr>
        <w:t>é</w:t>
      </w:r>
      <w:r w:rsidRPr="00AB7AC9">
        <w:rPr>
          <w:rFonts w:ascii="Times New Roman" w:hAnsi="Times New Roman" w:cs="Times New Roman"/>
          <w:bCs/>
        </w:rPr>
        <w:t xml:space="preserve"> list</w:t>
      </w:r>
      <w:r w:rsidR="00CA0EA8">
        <w:rPr>
          <w:rFonts w:ascii="Times New Roman" w:hAnsi="Times New Roman" w:cs="Times New Roman"/>
          <w:bCs/>
        </w:rPr>
        <w:t>y</w:t>
      </w:r>
      <w:r w:rsidRPr="00AB7AC9">
        <w:rPr>
          <w:rFonts w:ascii="Times New Roman" w:hAnsi="Times New Roman" w:cs="Times New Roman"/>
          <w:bCs/>
        </w:rPr>
        <w:t xml:space="preserve"> kameniv</w:t>
      </w:r>
      <w:r w:rsidR="00CA0EA8">
        <w:rPr>
          <w:rFonts w:ascii="Times New Roman" w:hAnsi="Times New Roman" w:cs="Times New Roman"/>
          <w:bCs/>
        </w:rPr>
        <w:t>a</w:t>
      </w:r>
      <w:r w:rsidRPr="00AB7AC9">
        <w:rPr>
          <w:rFonts w:ascii="Times New Roman" w:hAnsi="Times New Roman" w:cs="Times New Roman"/>
          <w:bCs/>
        </w:rPr>
        <w:t xml:space="preserve"> (KLK</w:t>
      </w:r>
      <w:r w:rsidR="008F5647">
        <w:rPr>
          <w:rFonts w:ascii="Times New Roman" w:hAnsi="Times New Roman" w:cs="Times New Roman"/>
          <w:bCs/>
        </w:rPr>
        <w:t xml:space="preserve">) </w:t>
      </w:r>
      <w:r w:rsidRPr="00AB7AC9">
        <w:rPr>
          <w:rFonts w:ascii="Times New Roman" w:hAnsi="Times New Roman" w:cs="Times New Roman"/>
          <w:bCs/>
        </w:rPr>
        <w:t>1/2021</w:t>
      </w:r>
      <w:r w:rsidR="008F5647">
        <w:rPr>
          <w:rFonts w:ascii="Times New Roman" w:hAnsi="Times New Roman" w:cs="Times New Roman"/>
          <w:bCs/>
        </w:rPr>
        <w:t>, vydan</w:t>
      </w:r>
      <w:r w:rsidR="00CA0EA8">
        <w:rPr>
          <w:rFonts w:ascii="Times New Roman" w:hAnsi="Times New Roman" w:cs="Times New Roman"/>
          <w:bCs/>
        </w:rPr>
        <w:t>é</w:t>
      </w:r>
      <w:r w:rsidR="008F5647">
        <w:rPr>
          <w:rFonts w:ascii="Times New Roman" w:hAnsi="Times New Roman" w:cs="Times New Roman"/>
          <w:bCs/>
        </w:rPr>
        <w:t xml:space="preserve"> </w:t>
      </w:r>
      <w:r w:rsidR="008F5647" w:rsidRPr="008F5647">
        <w:rPr>
          <w:rFonts w:ascii="Times New Roman" w:hAnsi="Times New Roman" w:cs="Times New Roman"/>
          <w:bCs/>
        </w:rPr>
        <w:t xml:space="preserve">Ministerstvom dopravy a výstavby SR, Sekcia cestnej dopravy a pozemných komunikácií </w:t>
      </w:r>
      <w:r w:rsidR="00CA0EA8">
        <w:rPr>
          <w:rFonts w:ascii="Times New Roman" w:hAnsi="Times New Roman" w:cs="Times New Roman"/>
          <w:bCs/>
        </w:rPr>
        <w:t xml:space="preserve">s účinnosťou od </w:t>
      </w:r>
      <w:r w:rsidR="008F5647" w:rsidRPr="008F5647">
        <w:rPr>
          <w:rFonts w:ascii="Times New Roman" w:hAnsi="Times New Roman" w:cs="Times New Roman"/>
          <w:bCs/>
        </w:rPr>
        <w:t xml:space="preserve"> 15.12.2021   </w:t>
      </w:r>
    </w:p>
    <w:p w14:paraId="5A4C1DC2" w14:textId="335B5143" w:rsidR="00CA0EA8" w:rsidRPr="00CA0EA8" w:rsidRDefault="00CA0EA8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Technické podmienky: </w:t>
      </w:r>
      <w:r w:rsidR="00B0529C" w:rsidRPr="00AB7AC9">
        <w:rPr>
          <w:rFonts w:ascii="Times New Roman" w:hAnsi="Times New Roman" w:cs="Times New Roman"/>
        </w:rPr>
        <w:t>TP 047</w:t>
      </w:r>
      <w:r>
        <w:rPr>
          <w:rFonts w:ascii="Times New Roman" w:hAnsi="Times New Roman" w:cs="Times New Roman"/>
        </w:rPr>
        <w:t xml:space="preserve"> _ </w:t>
      </w:r>
      <w:r w:rsidRPr="00AB7AC9">
        <w:rPr>
          <w:rFonts w:ascii="Times New Roman" w:hAnsi="Times New Roman" w:cs="Times New Roman"/>
        </w:rPr>
        <w:t>Katalóg technológií na opravy základných typov porúch vozoviek</w:t>
      </w:r>
      <w:r w:rsidR="00CC11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AB7AC9">
        <w:rPr>
          <w:rFonts w:ascii="Times New Roman" w:hAnsi="Times New Roman" w:cs="Times New Roman"/>
        </w:rPr>
        <w:t>vydan</w:t>
      </w:r>
      <w:r>
        <w:rPr>
          <w:rFonts w:ascii="Times New Roman" w:hAnsi="Times New Roman" w:cs="Times New Roman"/>
        </w:rPr>
        <w:t>ých</w:t>
      </w:r>
      <w:r w:rsidRPr="00AB7AC9">
        <w:rPr>
          <w:rFonts w:ascii="Times New Roman" w:hAnsi="Times New Roman" w:cs="Times New Roman"/>
        </w:rPr>
        <w:t xml:space="preserve"> </w:t>
      </w:r>
      <w:r w:rsidRPr="008F5647">
        <w:rPr>
          <w:rFonts w:ascii="Times New Roman" w:hAnsi="Times New Roman" w:cs="Times New Roman"/>
          <w:bCs/>
        </w:rPr>
        <w:t>Ministerstvom dopravy a výstavby SR, Sekcia cestnej dopravy a pozemných komunikácií</w:t>
      </w:r>
      <w:r>
        <w:rPr>
          <w:rFonts w:ascii="Times New Roman" w:hAnsi="Times New Roman" w:cs="Times New Roman"/>
        </w:rPr>
        <w:t xml:space="preserve"> </w:t>
      </w:r>
      <w:r w:rsidRPr="00CA0EA8">
        <w:rPr>
          <w:rFonts w:ascii="Times New Roman" w:hAnsi="Times New Roman" w:cs="Times New Roman"/>
        </w:rPr>
        <w:t>s účinnosťou od  15.8.2011</w:t>
      </w:r>
    </w:p>
    <w:p w14:paraId="41C524CE" w14:textId="77777777" w:rsidR="00B0529C" w:rsidRPr="00AB7AC9" w:rsidRDefault="00B0529C">
      <w:pPr>
        <w:pStyle w:val="Odsekzoznamu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18"/>
        </w:rPr>
      </w:pPr>
      <w:r w:rsidRPr="00AB7AC9">
        <w:rPr>
          <w:rFonts w:ascii="Times New Roman" w:hAnsi="Times New Roman" w:cs="Times New Roman"/>
        </w:rPr>
        <w:t>V prípade novelizácie noriem a predpisov platia posledné úpravy a zmeny</w:t>
      </w:r>
    </w:p>
    <w:p w14:paraId="4321C0B0" w14:textId="77777777" w:rsidR="00B0529C" w:rsidRPr="00AB7AC9" w:rsidRDefault="00B0529C" w:rsidP="005E6512">
      <w:pPr>
        <w:pStyle w:val="Odsekzoznamu"/>
        <w:spacing w:after="0" w:line="240" w:lineRule="auto"/>
        <w:rPr>
          <w:rFonts w:ascii="Times New Roman" w:hAnsi="Times New Roman" w:cs="Times New Roman"/>
          <w:sz w:val="18"/>
        </w:rPr>
      </w:pPr>
    </w:p>
    <w:p w14:paraId="62BD1D0C" w14:textId="59E064AB" w:rsidR="007C646B" w:rsidRPr="00922270" w:rsidRDefault="00E25EE1" w:rsidP="007C646B">
      <w:pPr>
        <w:rPr>
          <w:sz w:val="24"/>
          <w:szCs w:val="24"/>
          <w:u w:val="single"/>
        </w:rPr>
      </w:pPr>
      <w:r w:rsidRPr="00922270">
        <w:rPr>
          <w:b/>
          <w:sz w:val="24"/>
          <w:szCs w:val="24"/>
          <w:u w:val="single"/>
        </w:rPr>
        <w:t>Predpokladané m</w:t>
      </w:r>
      <w:r w:rsidR="007C646B" w:rsidRPr="00922270">
        <w:rPr>
          <w:b/>
          <w:sz w:val="24"/>
          <w:szCs w:val="24"/>
          <w:u w:val="single"/>
        </w:rPr>
        <w:t>nožstvo</w:t>
      </w:r>
      <w:r w:rsidR="00C2539F" w:rsidRPr="00922270">
        <w:rPr>
          <w:b/>
          <w:sz w:val="24"/>
          <w:szCs w:val="24"/>
          <w:u w:val="single"/>
        </w:rPr>
        <w:t>:</w:t>
      </w:r>
      <w:r w:rsidR="007C646B" w:rsidRPr="00922270">
        <w:rPr>
          <w:sz w:val="24"/>
          <w:szCs w:val="24"/>
          <w:u w:val="single"/>
        </w:rPr>
        <w:t xml:space="preserve"> </w:t>
      </w:r>
    </w:p>
    <w:p w14:paraId="00BB7008" w14:textId="39C1D697" w:rsidR="00E25EE1" w:rsidRPr="00CC1157" w:rsidRDefault="007C646B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C1157">
        <w:rPr>
          <w:rFonts w:ascii="Times New Roman" w:hAnsi="Times New Roman" w:cs="Times New Roman"/>
        </w:rPr>
        <w:t>Emulzia C60 B4</w:t>
      </w:r>
      <w:r w:rsidR="006846B7" w:rsidRPr="00CC1157">
        <w:rPr>
          <w:rFonts w:ascii="Times New Roman" w:hAnsi="Times New Roman" w:cs="Times New Roman"/>
        </w:rPr>
        <w:t xml:space="preserve">: </w:t>
      </w:r>
      <w:r w:rsidRPr="00CC1157">
        <w:rPr>
          <w:rFonts w:ascii="Times New Roman" w:hAnsi="Times New Roman" w:cs="Times New Roman"/>
        </w:rPr>
        <w:t xml:space="preserve"> </w:t>
      </w:r>
      <w:r w:rsidR="00E25EE1" w:rsidRPr="00CC1157">
        <w:rPr>
          <w:rFonts w:ascii="Times New Roman" w:hAnsi="Times New Roman" w:cs="Times New Roman"/>
        </w:rPr>
        <w:t xml:space="preserve">predpokladané množstvo </w:t>
      </w:r>
      <w:r w:rsidR="00E25EE1" w:rsidRPr="00CC1157">
        <w:rPr>
          <w:rFonts w:ascii="Times New Roman" w:hAnsi="Times New Roman" w:cs="Times New Roman"/>
          <w:lang w:eastAsia="sk-SK"/>
        </w:rPr>
        <w:t>vrátane dopravy do miest dodania spolu</w:t>
      </w:r>
      <w:r w:rsidRPr="00CC1157">
        <w:rPr>
          <w:rFonts w:ascii="Times New Roman" w:hAnsi="Times New Roman" w:cs="Times New Roman"/>
        </w:rPr>
        <w:t xml:space="preserve">:   </w:t>
      </w:r>
      <w:r w:rsidR="00872CD9" w:rsidRPr="00CC1157">
        <w:rPr>
          <w:rFonts w:ascii="Times New Roman" w:hAnsi="Times New Roman" w:cs="Times New Roman"/>
        </w:rPr>
        <w:t xml:space="preserve"> </w:t>
      </w:r>
      <w:r w:rsidR="00CC1157">
        <w:rPr>
          <w:rFonts w:ascii="Times New Roman" w:hAnsi="Times New Roman" w:cs="Times New Roman"/>
        </w:rPr>
        <w:t>600</w:t>
      </w:r>
      <w:r w:rsidR="0012101D" w:rsidRPr="00CC1157">
        <w:rPr>
          <w:rFonts w:ascii="Times New Roman" w:hAnsi="Times New Roman" w:cs="Times New Roman"/>
        </w:rPr>
        <w:t xml:space="preserve"> </w:t>
      </w:r>
      <w:r w:rsidRPr="00CC1157">
        <w:rPr>
          <w:rFonts w:ascii="Times New Roman" w:hAnsi="Times New Roman" w:cs="Times New Roman"/>
        </w:rPr>
        <w:t xml:space="preserve"> ton</w:t>
      </w:r>
    </w:p>
    <w:p w14:paraId="2A0C17B4" w14:textId="77777777" w:rsidR="00173C35" w:rsidRDefault="00E25EE1">
      <w:pPr>
        <w:pStyle w:val="Odsekzoznamu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Kamenivo pre vysprávky ciest tryskovou metódou frakcie: 2-4, alebo 2-5</w:t>
      </w:r>
    </w:p>
    <w:p w14:paraId="61A8510D" w14:textId="5AD9F0CA" w:rsidR="00440830" w:rsidRDefault="00173C35" w:rsidP="00173C35">
      <w:pPr>
        <w:pStyle w:val="Odsekzoznamu"/>
        <w:spacing w:after="0" w:line="240" w:lineRule="auto"/>
        <w:ind w:left="360"/>
        <w:jc w:val="both"/>
      </w:pPr>
      <w:r>
        <w:rPr>
          <w:rFonts w:ascii="Times New Roman" w:hAnsi="Times New Roman" w:cs="Times New Roman"/>
        </w:rPr>
        <w:t>vrátane dopravy</w:t>
      </w:r>
      <w:r w:rsidR="007C646B" w:rsidRPr="005B16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miest do</w:t>
      </w:r>
      <w:r w:rsidR="00C11A2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ania spolu:   4 200 ton</w:t>
      </w:r>
    </w:p>
    <w:p w14:paraId="18D3E34E" w14:textId="77777777" w:rsidR="00440830" w:rsidRPr="00440830" w:rsidRDefault="00440830" w:rsidP="00440830">
      <w:pPr>
        <w:spacing w:after="0" w:line="240" w:lineRule="auto"/>
      </w:pPr>
    </w:p>
    <w:p w14:paraId="5A7975E9" w14:textId="77777777" w:rsidR="00440830" w:rsidRDefault="00440830" w:rsidP="00440830">
      <w:pPr>
        <w:spacing w:after="0" w:line="240" w:lineRule="auto"/>
      </w:pPr>
    </w:p>
    <w:tbl>
      <w:tblPr>
        <w:tblW w:w="4380" w:type="pct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2724"/>
        <w:gridCol w:w="2366"/>
        <w:gridCol w:w="211"/>
        <w:gridCol w:w="2154"/>
      </w:tblGrid>
      <w:tr w:rsidR="009953CB" w:rsidRPr="00440830" w14:paraId="003386F7" w14:textId="77777777" w:rsidTr="009953CB">
        <w:trPr>
          <w:trHeight w:val="42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B33D3" w14:textId="3D52DA37" w:rsidR="009953CB" w:rsidRPr="00440830" w:rsidRDefault="009953CB" w:rsidP="009953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P.č.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E710" w14:textId="73EBC662" w:rsidR="009953CB" w:rsidRPr="00440830" w:rsidRDefault="00CC1157" w:rsidP="009953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Miesta dodania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10409B" w14:textId="77777777" w:rsidR="009953CB" w:rsidRPr="00440830" w:rsidRDefault="009953CB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Kamenivo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8B5472" w14:textId="77777777" w:rsidR="009953CB" w:rsidRPr="00440830" w:rsidRDefault="009953CB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Katiónaktívna emulzia</w:t>
            </w:r>
          </w:p>
        </w:tc>
      </w:tr>
      <w:tr w:rsidR="009953CB" w:rsidRPr="00440830" w14:paraId="42AD8BBB" w14:textId="77777777" w:rsidTr="006747F6">
        <w:trPr>
          <w:trHeight w:val="279"/>
        </w:trPr>
        <w:tc>
          <w:tcPr>
            <w:tcW w:w="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D5446" w14:textId="1BE50DE5" w:rsidR="009953CB" w:rsidRPr="00440830" w:rsidRDefault="009953CB" w:rsidP="009953C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26D129" w14:textId="77777777" w:rsidR="009953CB" w:rsidRPr="00440830" w:rsidRDefault="009953CB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B795" w14:textId="38056428" w:rsidR="009953CB" w:rsidRPr="00440830" w:rsidRDefault="009953CB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Predpokladané množstvo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v  t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B6FA" w14:textId="0923635F" w:rsidR="009953CB" w:rsidRPr="00440830" w:rsidRDefault="009953CB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Predpokladané množstvo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 v  t </w:t>
            </w:r>
          </w:p>
        </w:tc>
      </w:tr>
      <w:tr w:rsidR="00440830" w:rsidRPr="00440830" w14:paraId="56ABC287" w14:textId="77777777" w:rsidTr="009953CB">
        <w:trPr>
          <w:trHeight w:val="35"/>
        </w:trPr>
        <w:tc>
          <w:tcPr>
            <w:tcW w:w="30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668F7" w14:textId="2912C1F5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716" w:type="pct"/>
            <w:vMerge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859204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6577" w14:textId="5E1A7502" w:rsidR="00440830" w:rsidRPr="00440830" w:rsidRDefault="00440830" w:rsidP="009953C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90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610B" w14:textId="6E580B02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440830" w:rsidRPr="00440830" w14:paraId="66D6CC02" w14:textId="77777777" w:rsidTr="005E68FF">
        <w:trPr>
          <w:trHeight w:val="35"/>
        </w:trPr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2A597" w14:textId="4FA79471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73E96" w14:textId="6AF694FB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8EB30" w14:textId="10BE4A89" w:rsidR="00440830" w:rsidRPr="00440830" w:rsidRDefault="00440830" w:rsidP="00440830">
            <w:pPr>
              <w:spacing w:after="0" w:line="240" w:lineRule="auto"/>
              <w:ind w:firstLineChars="300" w:firstLine="660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38375" w14:textId="6F3E2C3A" w:rsidR="00440830" w:rsidRPr="00440830" w:rsidRDefault="00440830" w:rsidP="00440830">
            <w:pPr>
              <w:spacing w:after="0" w:line="240" w:lineRule="auto"/>
              <w:ind w:firstLineChars="300" w:firstLine="660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440830" w:rsidRPr="00440830" w14:paraId="29A42CF3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D64E2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0B1D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Moldava nad Bodvou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4FA6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210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4D61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</w:tr>
      <w:tr w:rsidR="00440830" w:rsidRPr="00440830" w14:paraId="072F3105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7D841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069B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Čaňa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7612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210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83DA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</w:tr>
      <w:tr w:rsidR="00440830" w:rsidRPr="00440830" w14:paraId="1A043BE1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3FED2C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73F9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Michalovce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D9C4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440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AE3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</w:tr>
      <w:tr w:rsidR="00440830" w:rsidRPr="00440830" w14:paraId="5C0F13B8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07581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9DD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Sobrance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F5F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826B" w14:textId="7F2050F4" w:rsidR="00440830" w:rsidRPr="00440830" w:rsidRDefault="00C06E7B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-</w:t>
            </w:r>
          </w:p>
        </w:tc>
      </w:tr>
      <w:tr w:rsidR="00440830" w:rsidRPr="00440830" w14:paraId="40616AF3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74A37C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A3A3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Veľké Kapušany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8B05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A63" w14:textId="15CE9981" w:rsidR="00440830" w:rsidRPr="00440830" w:rsidRDefault="00C06E7B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-</w:t>
            </w:r>
          </w:p>
        </w:tc>
      </w:tr>
      <w:tr w:rsidR="00440830" w:rsidRPr="00440830" w14:paraId="0A6864A4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2E612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36A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Rožňava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8F0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210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834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</w:tr>
      <w:tr w:rsidR="00440830" w:rsidRPr="00440830" w14:paraId="730BD7DF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385D4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DA0E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Spišská Nová Ves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BDD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700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30A3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</w:tr>
      <w:tr w:rsidR="00440830" w:rsidRPr="00440830" w14:paraId="2B96A4B2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1268B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2EF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Trebišov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4CC1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1 190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7176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</w:tr>
      <w:tr w:rsidR="00440830" w:rsidRPr="00440830" w14:paraId="76E1A271" w14:textId="77777777" w:rsidTr="005E68FF">
        <w:trPr>
          <w:trHeight w:val="3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9D5D0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FE0" w14:textId="77777777" w:rsidR="00440830" w:rsidRPr="00440830" w:rsidRDefault="00440830" w:rsidP="005E68FF">
            <w:pPr>
              <w:spacing w:after="0" w:line="240" w:lineRule="auto"/>
              <w:ind w:firstLineChars="100" w:firstLine="220"/>
              <w:jc w:val="left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Kráľovský Chlmec</w:t>
            </w: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A331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840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8171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</w:tr>
      <w:tr w:rsidR="00440830" w:rsidRPr="00440830" w14:paraId="1318F723" w14:textId="77777777" w:rsidTr="005E68FF">
        <w:trPr>
          <w:trHeight w:val="699"/>
        </w:trPr>
        <w:tc>
          <w:tcPr>
            <w:tcW w:w="2020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605EF468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color w:val="000000"/>
                <w:kern w:val="0"/>
                <w:lang w:eastAsia="sk-SK"/>
                <w14:ligatures w14:val="none"/>
              </w:rPr>
              <w:t>Predpokladané množstvo predmetu zákazky spolu</w:t>
            </w:r>
          </w:p>
        </w:tc>
        <w:tc>
          <w:tcPr>
            <w:tcW w:w="1623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D312A6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4 200</w:t>
            </w:r>
          </w:p>
        </w:tc>
        <w:tc>
          <w:tcPr>
            <w:tcW w:w="135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7F2E1D" w14:textId="77777777" w:rsidR="00440830" w:rsidRPr="00440830" w:rsidRDefault="00440830" w:rsidP="004408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440830">
              <w:rPr>
                <w:rFonts w:eastAsia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600</w:t>
            </w:r>
          </w:p>
        </w:tc>
      </w:tr>
    </w:tbl>
    <w:p w14:paraId="06DE9155" w14:textId="77777777" w:rsidR="00440830" w:rsidRPr="00440830" w:rsidRDefault="00440830" w:rsidP="00440830">
      <w:pPr>
        <w:spacing w:after="0" w:line="240" w:lineRule="auto"/>
      </w:pPr>
    </w:p>
    <w:p w14:paraId="6371716C" w14:textId="03E07890" w:rsidR="007C646B" w:rsidRPr="008014A7" w:rsidRDefault="007C646B" w:rsidP="00C2539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014A7">
        <w:rPr>
          <w:rFonts w:ascii="Times New Roman" w:hAnsi="Times New Roman" w:cs="Times New Roman"/>
        </w:rPr>
        <w:t xml:space="preserve"> </w:t>
      </w:r>
    </w:p>
    <w:p w14:paraId="30BD0F7E" w14:textId="77777777" w:rsidR="004E358A" w:rsidRDefault="004E358A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B7AC9">
        <w:rPr>
          <w:rFonts w:ascii="Times New Roman" w:eastAsia="Times New Roman" w:hAnsi="Times New Roman" w:cs="Times New Roman"/>
          <w:lang w:eastAsia="sk-SK"/>
        </w:rPr>
        <w:t>Presné vymedzenie rozsahu predmetu plnenia bude špecifikované v čiastkových písomných objednávkach  s uvedením druhu predmetu plnenia, jeho ceny, množstva a miesta dodania.</w:t>
      </w:r>
    </w:p>
    <w:p w14:paraId="600814B0" w14:textId="77777777" w:rsidR="004E358A" w:rsidRPr="008014A7" w:rsidRDefault="004E358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14A7">
        <w:rPr>
          <w:rFonts w:ascii="Times New Roman" w:hAnsi="Times New Roman" w:cs="Times New Roman"/>
        </w:rPr>
        <w:t>Celkové množstvo  predmetu zákazky je predpokladané, orientačné.</w:t>
      </w:r>
    </w:p>
    <w:p w14:paraId="310E7B74" w14:textId="77777777" w:rsidR="004E358A" w:rsidRDefault="004E358A" w:rsidP="004E358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014A7">
        <w:rPr>
          <w:rFonts w:ascii="Times New Roman" w:hAnsi="Times New Roman" w:cs="Times New Roman"/>
        </w:rPr>
        <w:t>Objednávateľ nie je povinný odobrať celé zazmluvnené množstvo predmetu zákazky, ale iba potrebné množstvo na základe požiadaviek  prevádzky</w:t>
      </w:r>
    </w:p>
    <w:p w14:paraId="13A2F0FA" w14:textId="77777777" w:rsidR="004E358A" w:rsidRDefault="004E358A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B5C06">
        <w:rPr>
          <w:rFonts w:ascii="Times New Roman" w:hAnsi="Times New Roman" w:cs="Times New Roman"/>
        </w:rPr>
        <w:t>Účastníci dohody berú na vedomie, že predpokladané množstvá</w:t>
      </w:r>
      <w:r>
        <w:rPr>
          <w:rFonts w:ascii="Times New Roman" w:hAnsi="Times New Roman" w:cs="Times New Roman"/>
        </w:rPr>
        <w:t xml:space="preserve"> pre jednotlivé miesta dodania</w:t>
      </w:r>
      <w:r w:rsidRPr="005B5C06">
        <w:rPr>
          <w:rFonts w:ascii="Times New Roman" w:hAnsi="Times New Roman" w:cs="Times New Roman"/>
        </w:rPr>
        <w:t xml:space="preserve"> nie sú záväzné a kupujúci je oprávnený objednať </w:t>
      </w:r>
      <w:r>
        <w:rPr>
          <w:rFonts w:ascii="Times New Roman" w:hAnsi="Times New Roman" w:cs="Times New Roman"/>
        </w:rPr>
        <w:t xml:space="preserve">si </w:t>
      </w:r>
      <w:r w:rsidRPr="005B5C06">
        <w:rPr>
          <w:rFonts w:ascii="Times New Roman" w:hAnsi="Times New Roman" w:cs="Times New Roman"/>
        </w:rPr>
        <w:t xml:space="preserve">množstvá v zmysle dohody </w:t>
      </w:r>
      <w:r>
        <w:rPr>
          <w:rFonts w:ascii="Times New Roman" w:hAnsi="Times New Roman" w:cs="Times New Roman"/>
        </w:rPr>
        <w:t xml:space="preserve">aj </w:t>
      </w:r>
      <w:r w:rsidRPr="005B5C06">
        <w:rPr>
          <w:rFonts w:ascii="Times New Roman" w:hAnsi="Times New Roman" w:cs="Times New Roman"/>
        </w:rPr>
        <w:t>nad rámec predpokladaného, avšak musí byť dodržaný maximálny finančný limit ceny</w:t>
      </w:r>
      <w:r>
        <w:rPr>
          <w:rFonts w:ascii="Times New Roman" w:hAnsi="Times New Roman" w:cs="Times New Roman"/>
        </w:rPr>
        <w:t xml:space="preserve"> predmetu zákazky</w:t>
      </w:r>
      <w:r w:rsidRPr="005B5C06">
        <w:rPr>
          <w:rFonts w:ascii="Times New Roman" w:hAnsi="Times New Roman" w:cs="Times New Roman"/>
        </w:rPr>
        <w:t>. Predávajúci túto skutočnosť berie na vedomie a bez výhrad s takýmto postupom súhlasí.</w:t>
      </w:r>
    </w:p>
    <w:p w14:paraId="2270BC86" w14:textId="77777777" w:rsidR="0012101D" w:rsidRDefault="0012101D" w:rsidP="0012101D">
      <w:pPr>
        <w:pStyle w:val="Odsekzoznamu"/>
        <w:widowControl w:val="0"/>
        <w:autoSpaceDE w:val="0"/>
        <w:autoSpaceDN w:val="0"/>
        <w:ind w:left="360"/>
        <w:rPr>
          <w:rFonts w:ascii="Times New Roman" w:hAnsi="Times New Roman" w:cs="Times New Roman"/>
        </w:rPr>
      </w:pPr>
    </w:p>
    <w:p w14:paraId="46C5D7D9" w14:textId="77777777" w:rsidR="0012101D" w:rsidRPr="00922270" w:rsidRDefault="0012101D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</w:pPr>
      <w:r w:rsidRPr="00922270">
        <w:rPr>
          <w:rFonts w:ascii="Times New Roman" w:hAnsi="Times New Roman" w:cs="Times New Roman"/>
          <w:b/>
          <w:kern w:val="2"/>
          <w:sz w:val="24"/>
          <w:szCs w:val="24"/>
          <w:u w:val="single"/>
          <w14:ligatures w14:val="standardContextual"/>
        </w:rPr>
        <w:t xml:space="preserve">Požiadavky na dopravu/dodávky tovaru: </w:t>
      </w:r>
    </w:p>
    <w:p w14:paraId="1D4F2FC4" w14:textId="77777777" w:rsidR="0012101D" w:rsidRDefault="0012101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Verejný obstarávateľ požaduje dodanie tovaru vrátane dopravy.</w:t>
      </w:r>
    </w:p>
    <w:p w14:paraId="3C247B5F" w14:textId="0BD43F60" w:rsidR="0012101D" w:rsidRPr="008014A7" w:rsidRDefault="0012101D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014A7">
        <w:rPr>
          <w:rFonts w:ascii="Times New Roman" w:hAnsi="Times New Roman" w:cs="Times New Roman"/>
        </w:rPr>
        <w:t>ena za naloženie, dopravu do miesta plnenia, vyloženie z dopravného prostriedku</w:t>
      </w:r>
      <w:r w:rsidR="00173C35">
        <w:rPr>
          <w:rFonts w:ascii="Times New Roman" w:hAnsi="Times New Roman" w:cs="Times New Roman"/>
        </w:rPr>
        <w:t>/</w:t>
      </w:r>
      <w:r w:rsidRPr="008014A7">
        <w:rPr>
          <w:rFonts w:ascii="Times New Roman" w:hAnsi="Times New Roman" w:cs="Times New Roman"/>
        </w:rPr>
        <w:t>prečerpanie do nádrže objednávateľa v mieste plnenia  bude zahrnutá v jednotkovej cene</w:t>
      </w:r>
      <w:r w:rsidR="00173C35">
        <w:rPr>
          <w:rFonts w:ascii="Times New Roman" w:hAnsi="Times New Roman" w:cs="Times New Roman"/>
        </w:rPr>
        <w:t>.</w:t>
      </w:r>
    </w:p>
    <w:p w14:paraId="1ACC2CC1" w14:textId="77777777" w:rsidR="0012101D" w:rsidRPr="008014A7" w:rsidRDefault="0012101D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8014A7">
        <w:rPr>
          <w:rFonts w:ascii="Times New Roman" w:hAnsi="Times New Roman" w:cs="Times New Roman"/>
        </w:rPr>
        <w:t xml:space="preserve">Pri dodaní emulzie s min. obsahom asfaltu 58 - 62 % (C60 B4) bude emulzia prečerpaná </w:t>
      </w:r>
    </w:p>
    <w:p w14:paraId="432D512C" w14:textId="6ED3E2BE" w:rsidR="0012101D" w:rsidRDefault="0012101D" w:rsidP="0012101D">
      <w:pPr>
        <w:pStyle w:val="Odsekzoznamu"/>
        <w:widowControl w:val="0"/>
        <w:autoSpaceDE w:val="0"/>
        <w:autoSpaceDN w:val="0"/>
        <w:rPr>
          <w:rFonts w:ascii="Times New Roman" w:hAnsi="Times New Roman" w:cs="Times New Roman"/>
        </w:rPr>
      </w:pPr>
      <w:r w:rsidRPr="0012101D">
        <w:rPr>
          <w:rFonts w:ascii="Times New Roman" w:hAnsi="Times New Roman" w:cs="Times New Roman"/>
        </w:rPr>
        <w:t>z prepravného vozidla dodávateľa do nádob objednávateľa.</w:t>
      </w:r>
    </w:p>
    <w:p w14:paraId="6ECC28FF" w14:textId="1EDF2350" w:rsidR="00173C35" w:rsidRDefault="00173C3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8014A7">
        <w:rPr>
          <w:rFonts w:ascii="Times New Roman" w:hAnsi="Times New Roman" w:cs="Times New Roman"/>
        </w:rPr>
        <w:t xml:space="preserve">Minimálne množstvo jednej objednávky emulzie s min. obsahom asfaltu 58 - 62 % (C60 B4) </w:t>
      </w:r>
      <w:r w:rsidRPr="0012101D">
        <w:rPr>
          <w:rFonts w:ascii="Times New Roman" w:hAnsi="Times New Roman" w:cs="Times New Roman"/>
        </w:rPr>
        <w:t>bude</w:t>
      </w:r>
      <w:r>
        <w:rPr>
          <w:rFonts w:ascii="Times New Roman" w:hAnsi="Times New Roman" w:cs="Times New Roman"/>
        </w:rPr>
        <w:t xml:space="preserve">: </w:t>
      </w:r>
      <w:r w:rsidRPr="0012101D">
        <w:rPr>
          <w:rFonts w:ascii="Times New Roman" w:hAnsi="Times New Roman" w:cs="Times New Roman"/>
        </w:rPr>
        <w:t xml:space="preserve"> </w:t>
      </w:r>
      <w:r w:rsidR="00922270">
        <w:rPr>
          <w:rFonts w:ascii="Times New Roman" w:hAnsi="Times New Roman" w:cs="Times New Roman"/>
        </w:rPr>
        <w:t>5</w:t>
      </w:r>
      <w:r w:rsidRPr="0012101D">
        <w:rPr>
          <w:rFonts w:ascii="Times New Roman" w:hAnsi="Times New Roman" w:cs="Times New Roman"/>
        </w:rPr>
        <w:t xml:space="preserve"> ton.</w:t>
      </w:r>
    </w:p>
    <w:p w14:paraId="751A4F64" w14:textId="1AD106F3" w:rsidR="00173C35" w:rsidRPr="0012101D" w:rsidRDefault="00173C35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8014A7">
        <w:rPr>
          <w:rFonts w:ascii="Times New Roman" w:hAnsi="Times New Roman" w:cs="Times New Roman"/>
        </w:rPr>
        <w:t xml:space="preserve">Minimálne množstvo jednej objednávky </w:t>
      </w:r>
      <w:r>
        <w:rPr>
          <w:rFonts w:ascii="Times New Roman" w:hAnsi="Times New Roman" w:cs="Times New Roman"/>
        </w:rPr>
        <w:t>kameniva</w:t>
      </w:r>
      <w:r w:rsidRPr="00801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bude min. 20 ton</w:t>
      </w:r>
    </w:p>
    <w:p w14:paraId="35D6C1EF" w14:textId="33B8A079" w:rsidR="0012101D" w:rsidRDefault="00AE486B" w:rsidP="00AE486B">
      <w:pPr>
        <w:pStyle w:val="Odsekzoznamu"/>
        <w:widowControl w:val="0"/>
        <w:tabs>
          <w:tab w:val="left" w:pos="7590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6E9DA4" w14:textId="77777777" w:rsidR="0012101D" w:rsidRPr="0012101D" w:rsidRDefault="0012101D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b/>
          <w:kern w:val="2"/>
          <w14:ligatures w14:val="standardContextual"/>
        </w:rPr>
      </w:pPr>
      <w:r w:rsidRPr="0012101D">
        <w:rPr>
          <w:rFonts w:ascii="Times New Roman" w:hAnsi="Times New Roman" w:cs="Times New Roman"/>
          <w:b/>
          <w:kern w:val="2"/>
          <w14:ligatures w14:val="standardContextual"/>
        </w:rPr>
        <w:t xml:space="preserve">Termín dodania: </w:t>
      </w:r>
    </w:p>
    <w:p w14:paraId="06A27EBD" w14:textId="0EE37A4B" w:rsidR="0012101D" w:rsidRPr="0012101D" w:rsidRDefault="0012101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2101D">
        <w:rPr>
          <w:rFonts w:ascii="Times New Roman" w:hAnsi="Times New Roman" w:cs="Times New Roman"/>
        </w:rPr>
        <w:t>o 5 (piatich) pracovných dní odo dňa doručenia písomnej objednávky dodávateľovi.</w:t>
      </w:r>
    </w:p>
    <w:p w14:paraId="22E4CA31" w14:textId="29D3D19C" w:rsidR="0012101D" w:rsidRPr="0012101D" w:rsidRDefault="0012101D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2101D">
        <w:rPr>
          <w:rFonts w:ascii="Times New Roman" w:hAnsi="Times New Roman" w:cs="Times New Roman"/>
        </w:rPr>
        <w:t xml:space="preserve">odanie tovaru objednávateľ požaduje v pracovných dňoch,  pondelok – piatok </w:t>
      </w:r>
    </w:p>
    <w:p w14:paraId="3E2D6FC0" w14:textId="77777777" w:rsidR="0012101D" w:rsidRPr="0012101D" w:rsidRDefault="0012101D" w:rsidP="0012101D">
      <w:pPr>
        <w:pStyle w:val="Odsekzoznamu"/>
        <w:jc w:val="both"/>
        <w:rPr>
          <w:rFonts w:ascii="Times New Roman" w:hAnsi="Times New Roman" w:cs="Times New Roman"/>
        </w:rPr>
      </w:pPr>
      <w:r w:rsidRPr="0012101D">
        <w:rPr>
          <w:rFonts w:ascii="Times New Roman" w:hAnsi="Times New Roman" w:cs="Times New Roman"/>
        </w:rPr>
        <w:t>od 7.00 hod. do  15.00 hod.</w:t>
      </w:r>
    </w:p>
    <w:p w14:paraId="3BC3EB57" w14:textId="00441B1D" w:rsidR="0080277A" w:rsidRPr="00B40170" w:rsidRDefault="0012101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</w:pPr>
      <w:r w:rsidRPr="0012101D">
        <w:rPr>
          <w:rFonts w:ascii="Times New Roman" w:hAnsi="Times New Roman" w:cs="Times New Roman"/>
        </w:rPr>
        <w:t xml:space="preserve">Zmluvné strany sa dohodnú na  predpokladanom termíne/čase  dodania tovaru min. 1 deň vopred v rámci </w:t>
      </w:r>
      <w:r w:rsidRPr="00B15DD1">
        <w:rPr>
          <w:rFonts w:ascii="Times New Roman" w:hAnsi="Times New Roman" w:cs="Times New Roman"/>
        </w:rPr>
        <w:t>určenej</w:t>
      </w:r>
      <w:r w:rsidRPr="0012101D">
        <w:rPr>
          <w:rFonts w:ascii="Times New Roman" w:hAnsi="Times New Roman" w:cs="Times New Roman"/>
        </w:rPr>
        <w:t xml:space="preserve"> lehoty dodania</w:t>
      </w:r>
    </w:p>
    <w:p w14:paraId="212D3237" w14:textId="77777777" w:rsidR="00B40170" w:rsidRDefault="00B40170" w:rsidP="00B40170">
      <w:pPr>
        <w:pStyle w:val="Odsekzoznamu"/>
        <w:widowControl w:val="0"/>
        <w:autoSpaceDE w:val="0"/>
        <w:autoSpaceDN w:val="0"/>
        <w:spacing w:after="0" w:line="240" w:lineRule="auto"/>
        <w:ind w:left="360"/>
        <w:jc w:val="both"/>
      </w:pPr>
    </w:p>
    <w:p w14:paraId="43A0D498" w14:textId="33A57EB2" w:rsidR="002F4D3D" w:rsidRPr="00922270" w:rsidRDefault="002F4D3D" w:rsidP="002F4D3D">
      <w:pPr>
        <w:pStyle w:val="Odsekzoznamu"/>
        <w:widowControl w:val="0"/>
        <w:autoSpaceDE w:val="0"/>
        <w:autoSpaceDN w:val="0"/>
        <w:spacing w:after="24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9222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Miesta dodania: </w:t>
      </w:r>
    </w:p>
    <w:p w14:paraId="0C08AE21" w14:textId="06F04634" w:rsidR="002F4D3D" w:rsidRPr="00172B81" w:rsidRDefault="002F4D3D" w:rsidP="002F4D3D">
      <w:pPr>
        <w:pStyle w:val="Odsekzoznamu"/>
        <w:widowControl w:val="0"/>
        <w:autoSpaceDE w:val="0"/>
        <w:autoSpaceDN w:val="0"/>
        <w:spacing w:after="240"/>
        <w:ind w:left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>na jednotlivé strediská</w:t>
      </w:r>
      <w:r w:rsidR="00B15DD1">
        <w:rPr>
          <w:rFonts w:ascii="Times New Roman" w:eastAsia="Times New Roman" w:hAnsi="Times New Roman" w:cs="Times New Roman"/>
          <w:lang w:eastAsia="sk-SK"/>
        </w:rPr>
        <w:t xml:space="preserve">/cestmajsterstvá </w:t>
      </w:r>
      <w:r w:rsidRPr="00172B81">
        <w:rPr>
          <w:rFonts w:ascii="Times New Roman" w:eastAsia="Times New Roman" w:hAnsi="Times New Roman" w:cs="Times New Roman"/>
          <w:lang w:eastAsia="sk-SK"/>
        </w:rPr>
        <w:t xml:space="preserve"> SC KSK v zmysle objednávok </w:t>
      </w:r>
      <w:r w:rsidR="00B15DD1">
        <w:rPr>
          <w:rFonts w:ascii="Times New Roman" w:eastAsia="Times New Roman" w:hAnsi="Times New Roman" w:cs="Times New Roman"/>
          <w:lang w:eastAsia="sk-SK"/>
        </w:rPr>
        <w:t>zodpovedných</w:t>
      </w:r>
      <w:r w:rsidRPr="00172B81">
        <w:rPr>
          <w:rFonts w:ascii="Times New Roman" w:eastAsia="Times New Roman" w:hAnsi="Times New Roman" w:cs="Times New Roman"/>
          <w:lang w:eastAsia="sk-SK"/>
        </w:rPr>
        <w:t xml:space="preserve"> osôb jednotlivých stredísk:</w:t>
      </w:r>
    </w:p>
    <w:p w14:paraId="440CD279" w14:textId="77777777" w:rsidR="002F4D3D" w:rsidRDefault="002F4D3D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24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>Správa ciest KSK, Hviezdoslavova 48, 045 01 Moldava nad Bodvou,</w:t>
      </w:r>
    </w:p>
    <w:p w14:paraId="1A32767B" w14:textId="7B30BDDA" w:rsidR="00B15DD1" w:rsidRPr="00172B81" w:rsidRDefault="00B15DD1">
      <w:pPr>
        <w:pStyle w:val="Odsekzoznamu"/>
        <w:widowControl w:val="0"/>
        <w:numPr>
          <w:ilvl w:val="0"/>
          <w:numId w:val="12"/>
        </w:numPr>
        <w:autoSpaceDE w:val="0"/>
        <w:autoSpaceDN w:val="0"/>
        <w:spacing w:after="24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Správa ciest KSK, Živičná 7,  044 14  Čaňa</w:t>
      </w:r>
    </w:p>
    <w:p w14:paraId="3AF3456C" w14:textId="77777777" w:rsidR="002F4D3D" w:rsidRDefault="002F4D3D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>Správa ciest KSK, Lastomírska 6, 071 80 Michalovce,</w:t>
      </w:r>
    </w:p>
    <w:p w14:paraId="7F9CE36C" w14:textId="0BFD1E3F" w:rsidR="005E68FF" w:rsidRDefault="005E68FF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 xml:space="preserve">Správa ciest KSK, </w:t>
      </w:r>
      <w:r>
        <w:rPr>
          <w:rFonts w:ascii="Times New Roman" w:eastAsia="Times New Roman" w:hAnsi="Times New Roman" w:cs="Times New Roman"/>
          <w:lang w:eastAsia="sk-SK"/>
        </w:rPr>
        <w:t>Kúpeľná 63</w:t>
      </w:r>
      <w:r w:rsidRPr="00172B81">
        <w:rPr>
          <w:rFonts w:ascii="Times New Roman" w:eastAsia="Times New Roman" w:hAnsi="Times New Roman" w:cs="Times New Roman"/>
          <w:lang w:eastAsia="sk-SK"/>
        </w:rPr>
        <w:t>, 07</w:t>
      </w:r>
      <w:r>
        <w:rPr>
          <w:rFonts w:ascii="Times New Roman" w:eastAsia="Times New Roman" w:hAnsi="Times New Roman" w:cs="Times New Roman"/>
          <w:lang w:eastAsia="sk-SK"/>
        </w:rPr>
        <w:t>3 01 Sobrance</w:t>
      </w:r>
      <w:r w:rsidRPr="00172B81">
        <w:rPr>
          <w:rFonts w:ascii="Times New Roman" w:eastAsia="Times New Roman" w:hAnsi="Times New Roman" w:cs="Times New Roman"/>
          <w:lang w:eastAsia="sk-SK"/>
        </w:rPr>
        <w:t>,</w:t>
      </w:r>
    </w:p>
    <w:p w14:paraId="2C3097AF" w14:textId="221984B0" w:rsidR="005E68FF" w:rsidRDefault="005E68FF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 xml:space="preserve">Správa ciest KSK, </w:t>
      </w:r>
      <w:r>
        <w:rPr>
          <w:rFonts w:ascii="Times New Roman" w:eastAsia="Times New Roman" w:hAnsi="Times New Roman" w:cs="Times New Roman"/>
          <w:lang w:eastAsia="sk-SK"/>
        </w:rPr>
        <w:t>Hadabuda 4</w:t>
      </w:r>
      <w:r w:rsidRPr="00172B81">
        <w:rPr>
          <w:rFonts w:ascii="Times New Roman" w:eastAsia="Times New Roman" w:hAnsi="Times New Roman" w:cs="Times New Roman"/>
          <w:lang w:eastAsia="sk-SK"/>
        </w:rPr>
        <w:t>, 07</w:t>
      </w:r>
      <w:r>
        <w:rPr>
          <w:rFonts w:ascii="Times New Roman" w:eastAsia="Times New Roman" w:hAnsi="Times New Roman" w:cs="Times New Roman"/>
          <w:lang w:eastAsia="sk-SK"/>
        </w:rPr>
        <w:t>6 01 Veľké Kapušany</w:t>
      </w:r>
      <w:r w:rsidRPr="00172B81">
        <w:rPr>
          <w:rFonts w:ascii="Times New Roman" w:eastAsia="Times New Roman" w:hAnsi="Times New Roman" w:cs="Times New Roman"/>
          <w:lang w:eastAsia="sk-SK"/>
        </w:rPr>
        <w:t>,</w:t>
      </w:r>
    </w:p>
    <w:p w14:paraId="21BB156E" w14:textId="77777777" w:rsidR="002F4D3D" w:rsidRPr="00172B81" w:rsidRDefault="002F4D3D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>Správa ciest KSK, Betliarska 9, 048 01 Rožňava,</w:t>
      </w:r>
    </w:p>
    <w:p w14:paraId="2131E498" w14:textId="77777777" w:rsidR="002F4D3D" w:rsidRPr="00172B81" w:rsidRDefault="002F4D3D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>Správa ciest KSK, Tepličská cesta 9, 052 01 Spišská Nová Ves,</w:t>
      </w:r>
    </w:p>
    <w:p w14:paraId="121B6793" w14:textId="77777777" w:rsidR="002F4D3D" w:rsidRDefault="002F4D3D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 w:rsidRPr="00172B81">
        <w:rPr>
          <w:rFonts w:ascii="Times New Roman" w:eastAsia="Times New Roman" w:hAnsi="Times New Roman" w:cs="Times New Roman"/>
          <w:lang w:eastAsia="sk-SK"/>
        </w:rPr>
        <w:t>Správa ciest KSK, Ruskovská 3, 075 01 Trebišov</w:t>
      </w:r>
    </w:p>
    <w:p w14:paraId="7872AF5A" w14:textId="67B8B257" w:rsidR="00B15DD1" w:rsidRDefault="00B15DD1">
      <w:pPr>
        <w:pStyle w:val="Odsekzoznamu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Správa ciest KSK, Kapušanská 112/65,  077 01  Kráľovský Chlmec</w:t>
      </w:r>
    </w:p>
    <w:p w14:paraId="62AB8A02" w14:textId="77777777" w:rsidR="002F4D3D" w:rsidRDefault="002F4D3D" w:rsidP="002F4D3D">
      <w:pPr>
        <w:pStyle w:val="Odsekzoznamu"/>
        <w:widowControl w:val="0"/>
        <w:autoSpaceDE w:val="0"/>
        <w:autoSpaceDN w:val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20E80A6" w14:textId="338EDB81" w:rsidR="002F4D3D" w:rsidRPr="00737D73" w:rsidRDefault="00A82167" w:rsidP="00707F6A">
      <w:pPr>
        <w:pStyle w:val="Odsekzoznamu"/>
        <w:widowControl w:val="0"/>
        <w:autoSpaceDE w:val="0"/>
        <w:autoSpaceDN w:val="0"/>
        <w:ind w:left="0"/>
        <w:rPr>
          <w:rFonts w:ascii="Times New Roman" w:hAnsi="Times New Roman" w:cs="Times New Roman"/>
        </w:rPr>
      </w:pPr>
      <w:r w:rsidRPr="009222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Trvanie rámcovej dohody</w:t>
      </w:r>
      <w:r w:rsidRPr="00922270">
        <w:rPr>
          <w:rFonts w:ascii="Times New Roman" w:hAnsi="Times New Roman" w:cs="Times New Roman"/>
          <w:u w:val="single"/>
        </w:rPr>
        <w:t>:</w:t>
      </w:r>
      <w:r w:rsidRPr="00737D73">
        <w:rPr>
          <w:rFonts w:ascii="Times New Roman" w:hAnsi="Times New Roman" w:cs="Times New Roman"/>
        </w:rPr>
        <w:t xml:space="preserve">  </w:t>
      </w:r>
      <w:r w:rsidR="00173C35">
        <w:rPr>
          <w:rFonts w:ascii="Times New Roman" w:hAnsi="Times New Roman" w:cs="Times New Roman"/>
        </w:rPr>
        <w:t>24</w:t>
      </w:r>
      <w:r w:rsidRPr="00737D73">
        <w:rPr>
          <w:rFonts w:ascii="Times New Roman" w:hAnsi="Times New Roman" w:cs="Times New Roman"/>
        </w:rPr>
        <w:t xml:space="preserve"> </w:t>
      </w:r>
      <w:r w:rsidR="00FE5C8C">
        <w:rPr>
          <w:rFonts w:ascii="Times New Roman" w:hAnsi="Times New Roman" w:cs="Times New Roman"/>
        </w:rPr>
        <w:t xml:space="preserve"> </w:t>
      </w:r>
      <w:r w:rsidRPr="00737D73">
        <w:rPr>
          <w:rFonts w:ascii="Times New Roman" w:hAnsi="Times New Roman" w:cs="Times New Roman"/>
        </w:rPr>
        <w:t>mesiacov</w:t>
      </w:r>
    </w:p>
    <w:bookmarkEnd w:id="2"/>
    <w:bookmarkEnd w:id="6"/>
    <w:p w14:paraId="6A562396" w14:textId="36E44593" w:rsidR="001D7276" w:rsidRPr="00173C35" w:rsidRDefault="001D7276">
      <w:pPr>
        <w:pStyle w:val="Odsekzoznamu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Cs w:val="20"/>
        </w:rPr>
      </w:pPr>
      <w:r w:rsidRPr="00173C35">
        <w:rPr>
          <w:rFonts w:ascii="Times New Roman" w:hAnsi="Times New Roman" w:cs="Times New Roman"/>
          <w:szCs w:val="20"/>
        </w:rPr>
        <w:t xml:space="preserve">V prípade, ak nedôjde k celkovému vecnému  a/alebo finančnému vyčerpaniu predmetu plnenia platnej rámcovej dohody, bude oprávnením objednávateľa uplatniť formou jednostranného písomného oznámenia predĺženie doby trvania tejto dohody maximálne do celkovej doby trvania </w:t>
      </w:r>
      <w:r w:rsidR="00173C35" w:rsidRPr="00173C35">
        <w:rPr>
          <w:rFonts w:ascii="Times New Roman" w:hAnsi="Times New Roman" w:cs="Times New Roman"/>
          <w:szCs w:val="20"/>
        </w:rPr>
        <w:t>30</w:t>
      </w:r>
      <w:r w:rsidRPr="00173C35">
        <w:rPr>
          <w:rFonts w:ascii="Times New Roman" w:hAnsi="Times New Roman" w:cs="Times New Roman"/>
          <w:szCs w:val="20"/>
        </w:rPr>
        <w:t xml:space="preserve"> mesiacov odo dňa nadobudnutia účinnosti RD s tým, že celkové plnenie nesmie presiahnuť maximálny finančný limit a jednotkové ceny položiek uvedené v Prílohe  č. 2  ostanú nezmenené.  </w:t>
      </w:r>
    </w:p>
    <w:sectPr w:rsidR="001D7276" w:rsidRPr="00173C35" w:rsidSect="0080277A">
      <w:footerReference w:type="default" r:id="rId8"/>
      <w:headerReference w:type="first" r:id="rId9"/>
      <w:footerReference w:type="first" r:id="rId10"/>
      <w:pgSz w:w="11906" w:h="16838"/>
      <w:pgMar w:top="1134" w:right="1417" w:bottom="851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A6435" w14:textId="77777777" w:rsidR="00D42F66" w:rsidRDefault="00D42F66" w:rsidP="001E408C">
      <w:pPr>
        <w:spacing w:after="0" w:line="240" w:lineRule="auto"/>
      </w:pPr>
      <w:r>
        <w:separator/>
      </w:r>
    </w:p>
  </w:endnote>
  <w:endnote w:type="continuationSeparator" w:id="0">
    <w:p w14:paraId="229361A4" w14:textId="77777777" w:rsidR="00D42F66" w:rsidRDefault="00D42F66" w:rsidP="001E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dista">
    <w:altName w:val="Cambria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25755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2CC481" w14:textId="7FCCA9DD" w:rsidR="001E408C" w:rsidRDefault="001E408C">
        <w:pPr>
          <w:pStyle w:val="Pta"/>
          <w:jc w:val="right"/>
          <w:rPr>
            <w:sz w:val="18"/>
            <w:szCs w:val="18"/>
          </w:rPr>
        </w:pPr>
        <w:r w:rsidRPr="001E408C">
          <w:rPr>
            <w:sz w:val="18"/>
            <w:szCs w:val="18"/>
          </w:rPr>
          <w:fldChar w:fldCharType="begin"/>
        </w:r>
        <w:r w:rsidRPr="001E408C">
          <w:rPr>
            <w:sz w:val="18"/>
            <w:szCs w:val="18"/>
          </w:rPr>
          <w:instrText>PAGE   \* MERGEFORMAT</w:instrText>
        </w:r>
        <w:r w:rsidRPr="001E408C">
          <w:rPr>
            <w:sz w:val="18"/>
            <w:szCs w:val="18"/>
          </w:rPr>
          <w:fldChar w:fldCharType="separate"/>
        </w:r>
        <w:r w:rsidRPr="001E408C">
          <w:rPr>
            <w:sz w:val="18"/>
            <w:szCs w:val="18"/>
          </w:rPr>
          <w:t>2</w:t>
        </w:r>
        <w:r w:rsidRPr="001E408C">
          <w:rPr>
            <w:sz w:val="18"/>
            <w:szCs w:val="18"/>
          </w:rPr>
          <w:fldChar w:fldCharType="end"/>
        </w:r>
        <w:r w:rsidRPr="001E408C">
          <w:rPr>
            <w:sz w:val="18"/>
            <w:szCs w:val="18"/>
          </w:rPr>
          <w:t xml:space="preserve"> z</w:t>
        </w:r>
        <w:r>
          <w:rPr>
            <w:sz w:val="18"/>
            <w:szCs w:val="18"/>
          </w:rPr>
          <w:t> </w:t>
        </w:r>
        <w:r w:rsidR="00737D73">
          <w:rPr>
            <w:sz w:val="18"/>
            <w:szCs w:val="18"/>
          </w:rPr>
          <w:t>3</w:t>
        </w:r>
      </w:p>
      <w:p w14:paraId="187B68A0" w14:textId="45570697" w:rsidR="001E408C" w:rsidRPr="001E408C" w:rsidRDefault="001E408C" w:rsidP="001E408C">
        <w:pPr>
          <w:pStyle w:val="Pt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Opis predmetu zákazky _ </w:t>
        </w:r>
        <w:r w:rsidR="00737D73">
          <w:rPr>
            <w:sz w:val="18"/>
            <w:szCs w:val="18"/>
          </w:rPr>
          <w:t>Kati</w:t>
        </w:r>
        <w:r w:rsidR="00EA190B">
          <w:rPr>
            <w:sz w:val="18"/>
            <w:szCs w:val="18"/>
          </w:rPr>
          <w:t>ó</w:t>
        </w:r>
        <w:r w:rsidR="00737D73">
          <w:rPr>
            <w:sz w:val="18"/>
            <w:szCs w:val="18"/>
          </w:rPr>
          <w:t>naktívna emulzia</w:t>
        </w:r>
        <w:r w:rsidR="009953CB">
          <w:rPr>
            <w:sz w:val="18"/>
            <w:szCs w:val="18"/>
          </w:rPr>
          <w:t xml:space="preserve"> a kamenivo pre vysprávky ciest tryskovou metódou</w:t>
        </w:r>
      </w:p>
    </w:sdtContent>
  </w:sdt>
  <w:p w14:paraId="51697AD8" w14:textId="77777777" w:rsidR="001E408C" w:rsidRDefault="001E40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54440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20AA57" w14:textId="2A280E0F" w:rsidR="0080277A" w:rsidRDefault="0080277A">
        <w:pPr>
          <w:pStyle w:val="Pta"/>
          <w:jc w:val="right"/>
          <w:rPr>
            <w:sz w:val="18"/>
            <w:szCs w:val="18"/>
          </w:rPr>
        </w:pPr>
        <w:r w:rsidRPr="0080277A">
          <w:rPr>
            <w:sz w:val="18"/>
            <w:szCs w:val="18"/>
          </w:rPr>
          <w:fldChar w:fldCharType="begin"/>
        </w:r>
        <w:r w:rsidRPr="0080277A">
          <w:rPr>
            <w:sz w:val="18"/>
            <w:szCs w:val="18"/>
          </w:rPr>
          <w:instrText>PAGE   \* MERGEFORMAT</w:instrText>
        </w:r>
        <w:r w:rsidRPr="0080277A">
          <w:rPr>
            <w:sz w:val="18"/>
            <w:szCs w:val="18"/>
          </w:rPr>
          <w:fldChar w:fldCharType="separate"/>
        </w:r>
        <w:r w:rsidRPr="0080277A">
          <w:rPr>
            <w:sz w:val="18"/>
            <w:szCs w:val="18"/>
          </w:rPr>
          <w:t>2</w:t>
        </w:r>
        <w:r w:rsidRPr="0080277A">
          <w:rPr>
            <w:sz w:val="18"/>
            <w:szCs w:val="18"/>
          </w:rPr>
          <w:fldChar w:fldCharType="end"/>
        </w:r>
        <w:r w:rsidRPr="0080277A">
          <w:rPr>
            <w:sz w:val="18"/>
            <w:szCs w:val="18"/>
          </w:rPr>
          <w:t xml:space="preserve"> z</w:t>
        </w:r>
        <w:r>
          <w:rPr>
            <w:sz w:val="18"/>
            <w:szCs w:val="18"/>
          </w:rPr>
          <w:t> </w:t>
        </w:r>
        <w:r w:rsidR="00AE486B">
          <w:rPr>
            <w:sz w:val="18"/>
            <w:szCs w:val="18"/>
          </w:rPr>
          <w:t>3</w:t>
        </w:r>
      </w:p>
      <w:sdt>
        <w:sdtPr>
          <w:id w:val="1066541535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38D56AA" w14:textId="0722DD43" w:rsidR="0080277A" w:rsidRPr="001E408C" w:rsidRDefault="0080277A" w:rsidP="0080277A">
            <w:pPr>
              <w:pStyle w:val="Pt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 predmetu zákazky _ </w:t>
            </w:r>
            <w:r w:rsidR="007C646B">
              <w:rPr>
                <w:sz w:val="18"/>
                <w:szCs w:val="18"/>
              </w:rPr>
              <w:t>Katiónaktívna emulzia  2024</w:t>
            </w:r>
          </w:p>
        </w:sdtContent>
      </w:sdt>
      <w:p w14:paraId="29BAB939" w14:textId="77777777" w:rsidR="0080277A" w:rsidRDefault="0080277A">
        <w:pPr>
          <w:pStyle w:val="Pta"/>
          <w:jc w:val="right"/>
          <w:rPr>
            <w:sz w:val="18"/>
            <w:szCs w:val="18"/>
          </w:rPr>
        </w:pPr>
      </w:p>
      <w:p w14:paraId="60A09582" w14:textId="136FDA91" w:rsidR="0080277A" w:rsidRPr="0080277A" w:rsidRDefault="00000000" w:rsidP="0080277A">
        <w:pPr>
          <w:pStyle w:val="Pta"/>
          <w:jc w:val="center"/>
          <w:rPr>
            <w:sz w:val="18"/>
            <w:szCs w:val="18"/>
          </w:rPr>
        </w:pPr>
      </w:p>
    </w:sdtContent>
  </w:sdt>
  <w:p w14:paraId="5E29B591" w14:textId="77777777" w:rsidR="0080277A" w:rsidRDefault="008027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F54A8" w14:textId="77777777" w:rsidR="00D42F66" w:rsidRDefault="00D42F66" w:rsidP="001E408C">
      <w:pPr>
        <w:spacing w:after="0" w:line="240" w:lineRule="auto"/>
      </w:pPr>
      <w:r>
        <w:separator/>
      </w:r>
    </w:p>
  </w:footnote>
  <w:footnote w:type="continuationSeparator" w:id="0">
    <w:p w14:paraId="60228B2C" w14:textId="77777777" w:rsidR="00D42F66" w:rsidRDefault="00D42F66" w:rsidP="001E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A597" w14:textId="166569A8" w:rsidR="00872CD9" w:rsidRPr="009953CB" w:rsidRDefault="00872CD9" w:rsidP="00872CD9">
    <w:pPr>
      <w:pStyle w:val="Hlavika"/>
      <w:jc w:val="right"/>
      <w:rPr>
        <w:i/>
        <w:iCs/>
        <w:sz w:val="18"/>
        <w:szCs w:val="18"/>
      </w:rPr>
    </w:pPr>
    <w:r w:rsidRPr="009953CB">
      <w:rPr>
        <w:i/>
        <w:iCs/>
        <w:sz w:val="18"/>
        <w:szCs w:val="18"/>
      </w:rPr>
      <w:t xml:space="preserve">Príloha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177B"/>
    <w:multiLevelType w:val="hybridMultilevel"/>
    <w:tmpl w:val="F4D40E8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B2990"/>
    <w:multiLevelType w:val="hybridMultilevel"/>
    <w:tmpl w:val="ACC44F8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13C38"/>
    <w:multiLevelType w:val="hybridMultilevel"/>
    <w:tmpl w:val="646041BA"/>
    <w:lvl w:ilvl="0" w:tplc="8AEC09D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34D2D"/>
    <w:multiLevelType w:val="hybridMultilevel"/>
    <w:tmpl w:val="FB90855A"/>
    <w:lvl w:ilvl="0" w:tplc="ADFC1C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1BAB"/>
    <w:multiLevelType w:val="hybridMultilevel"/>
    <w:tmpl w:val="26948688"/>
    <w:lvl w:ilvl="0" w:tplc="ADFC1C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7D8"/>
    <w:multiLevelType w:val="hybridMultilevel"/>
    <w:tmpl w:val="6C4E6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3048"/>
    <w:multiLevelType w:val="hybridMultilevel"/>
    <w:tmpl w:val="A338025C"/>
    <w:lvl w:ilvl="0" w:tplc="ADFC1C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1435"/>
    <w:multiLevelType w:val="hybridMultilevel"/>
    <w:tmpl w:val="945AAAA8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E12E0E"/>
    <w:multiLevelType w:val="hybridMultilevel"/>
    <w:tmpl w:val="377CFFEA"/>
    <w:lvl w:ilvl="0" w:tplc="041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D48C1"/>
    <w:multiLevelType w:val="hybridMultilevel"/>
    <w:tmpl w:val="AD44A71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42EF6"/>
    <w:multiLevelType w:val="multilevel"/>
    <w:tmpl w:val="A6EE7DD8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lvlText w:val="1.%3"/>
      <w:lvlJc w:val="left"/>
      <w:pPr>
        <w:ind w:left="737" w:hanging="737"/>
      </w:pPr>
      <w:rPr>
        <w:rFonts w:ascii="Nudista" w:hAnsi="Nudist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ind w:left="157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bullet"/>
      <w:pStyle w:val="Nadpis7"/>
      <w:lvlText w:val=""/>
      <w:lvlJc w:val="left"/>
      <w:pPr>
        <w:ind w:left="1296" w:hanging="1296"/>
      </w:pPr>
      <w:rPr>
        <w:rFonts w:ascii="Symbol" w:hAnsi="Symbol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0649D5"/>
    <w:multiLevelType w:val="hybridMultilevel"/>
    <w:tmpl w:val="E0861BD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4C5416"/>
    <w:multiLevelType w:val="hybridMultilevel"/>
    <w:tmpl w:val="1A2C5AD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EC77DA"/>
    <w:multiLevelType w:val="hybridMultilevel"/>
    <w:tmpl w:val="8DD0CB9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F1295E"/>
    <w:multiLevelType w:val="hybridMultilevel"/>
    <w:tmpl w:val="6018157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B35023"/>
    <w:multiLevelType w:val="hybridMultilevel"/>
    <w:tmpl w:val="24C4ECA0"/>
    <w:lvl w:ilvl="0" w:tplc="ADFC1C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350A5"/>
    <w:multiLevelType w:val="multilevel"/>
    <w:tmpl w:val="9DD6B51A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Nudista" w:eastAsia="Proba Pro" w:hAnsi="Nudista" w:cs="Proba Pro" w:hint="default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Nudista" w:eastAsia="Proba Pro" w:hAnsi="Nudista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980002F"/>
    <w:multiLevelType w:val="hybridMultilevel"/>
    <w:tmpl w:val="BEC64A5E"/>
    <w:lvl w:ilvl="0" w:tplc="041B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011929">
    <w:abstractNumId w:val="10"/>
  </w:num>
  <w:num w:numId="2" w16cid:durableId="1495414473">
    <w:abstractNumId w:val="16"/>
  </w:num>
  <w:num w:numId="3" w16cid:durableId="2010790321">
    <w:abstractNumId w:val="12"/>
  </w:num>
  <w:num w:numId="4" w16cid:durableId="681587774">
    <w:abstractNumId w:val="13"/>
  </w:num>
  <w:num w:numId="5" w16cid:durableId="1686445666">
    <w:abstractNumId w:val="14"/>
  </w:num>
  <w:num w:numId="6" w16cid:durableId="233854140">
    <w:abstractNumId w:val="3"/>
  </w:num>
  <w:num w:numId="7" w16cid:durableId="2100103869">
    <w:abstractNumId w:val="2"/>
  </w:num>
  <w:num w:numId="8" w16cid:durableId="1661075713">
    <w:abstractNumId w:val="5"/>
  </w:num>
  <w:num w:numId="9" w16cid:durableId="1099327363">
    <w:abstractNumId w:val="15"/>
  </w:num>
  <w:num w:numId="10" w16cid:durableId="1764033814">
    <w:abstractNumId w:val="6"/>
  </w:num>
  <w:num w:numId="11" w16cid:durableId="313679502">
    <w:abstractNumId w:val="8"/>
  </w:num>
  <w:num w:numId="12" w16cid:durableId="946038152">
    <w:abstractNumId w:val="17"/>
  </w:num>
  <w:num w:numId="13" w16cid:durableId="1907716324">
    <w:abstractNumId w:val="4"/>
  </w:num>
  <w:num w:numId="14" w16cid:durableId="1185904597">
    <w:abstractNumId w:val="11"/>
  </w:num>
  <w:num w:numId="15" w16cid:durableId="2063869068">
    <w:abstractNumId w:val="7"/>
  </w:num>
  <w:num w:numId="16" w16cid:durableId="73549037">
    <w:abstractNumId w:val="0"/>
  </w:num>
  <w:num w:numId="17" w16cid:durableId="747456398">
    <w:abstractNumId w:val="1"/>
  </w:num>
  <w:num w:numId="18" w16cid:durableId="120267308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72"/>
    <w:rsid w:val="00016524"/>
    <w:rsid w:val="00051196"/>
    <w:rsid w:val="0006613A"/>
    <w:rsid w:val="00070ADA"/>
    <w:rsid w:val="00087CAA"/>
    <w:rsid w:val="000B395C"/>
    <w:rsid w:val="000B5998"/>
    <w:rsid w:val="000C634F"/>
    <w:rsid w:val="000E1453"/>
    <w:rsid w:val="00104875"/>
    <w:rsid w:val="0012101D"/>
    <w:rsid w:val="00173C35"/>
    <w:rsid w:val="001825BA"/>
    <w:rsid w:val="00183CD9"/>
    <w:rsid w:val="001A22AD"/>
    <w:rsid w:val="001D7276"/>
    <w:rsid w:val="001E408C"/>
    <w:rsid w:val="0020250E"/>
    <w:rsid w:val="002140CF"/>
    <w:rsid w:val="00226157"/>
    <w:rsid w:val="0023035F"/>
    <w:rsid w:val="002C59BC"/>
    <w:rsid w:val="002D0838"/>
    <w:rsid w:val="002F4D3D"/>
    <w:rsid w:val="00320A84"/>
    <w:rsid w:val="0032407C"/>
    <w:rsid w:val="0034478E"/>
    <w:rsid w:val="00364C3C"/>
    <w:rsid w:val="00371FD2"/>
    <w:rsid w:val="00383ECB"/>
    <w:rsid w:val="003D071E"/>
    <w:rsid w:val="0042612A"/>
    <w:rsid w:val="00440830"/>
    <w:rsid w:val="00446A42"/>
    <w:rsid w:val="00470845"/>
    <w:rsid w:val="004B0F35"/>
    <w:rsid w:val="004C1423"/>
    <w:rsid w:val="004C3FCB"/>
    <w:rsid w:val="004E358A"/>
    <w:rsid w:val="004E57A0"/>
    <w:rsid w:val="00500623"/>
    <w:rsid w:val="00566E01"/>
    <w:rsid w:val="005836A6"/>
    <w:rsid w:val="00597D12"/>
    <w:rsid w:val="005B1680"/>
    <w:rsid w:val="005B6A0F"/>
    <w:rsid w:val="005E6512"/>
    <w:rsid w:val="005E68FF"/>
    <w:rsid w:val="00606D88"/>
    <w:rsid w:val="006101BC"/>
    <w:rsid w:val="006368FF"/>
    <w:rsid w:val="00655554"/>
    <w:rsid w:val="00656F0C"/>
    <w:rsid w:val="006741E1"/>
    <w:rsid w:val="006846B7"/>
    <w:rsid w:val="006B1061"/>
    <w:rsid w:val="006C1DB5"/>
    <w:rsid w:val="00707F6A"/>
    <w:rsid w:val="00737D73"/>
    <w:rsid w:val="00762B9F"/>
    <w:rsid w:val="00780C80"/>
    <w:rsid w:val="007A077C"/>
    <w:rsid w:val="007C646B"/>
    <w:rsid w:val="0080277A"/>
    <w:rsid w:val="00855166"/>
    <w:rsid w:val="00861ABD"/>
    <w:rsid w:val="00872CD9"/>
    <w:rsid w:val="008B32E9"/>
    <w:rsid w:val="008D2E3E"/>
    <w:rsid w:val="008F5647"/>
    <w:rsid w:val="00900F02"/>
    <w:rsid w:val="00922270"/>
    <w:rsid w:val="009953CB"/>
    <w:rsid w:val="009B6B49"/>
    <w:rsid w:val="00A00096"/>
    <w:rsid w:val="00A00BE2"/>
    <w:rsid w:val="00A82167"/>
    <w:rsid w:val="00AA64EC"/>
    <w:rsid w:val="00AA6E72"/>
    <w:rsid w:val="00AB4BBA"/>
    <w:rsid w:val="00AE486B"/>
    <w:rsid w:val="00B0529C"/>
    <w:rsid w:val="00B15DD1"/>
    <w:rsid w:val="00B17F12"/>
    <w:rsid w:val="00B31323"/>
    <w:rsid w:val="00B40170"/>
    <w:rsid w:val="00B67CD9"/>
    <w:rsid w:val="00BA0531"/>
    <w:rsid w:val="00BB7924"/>
    <w:rsid w:val="00BE1C75"/>
    <w:rsid w:val="00C06E7B"/>
    <w:rsid w:val="00C11A25"/>
    <w:rsid w:val="00C251CF"/>
    <w:rsid w:val="00C2539F"/>
    <w:rsid w:val="00C2563F"/>
    <w:rsid w:val="00C3341F"/>
    <w:rsid w:val="00C3477A"/>
    <w:rsid w:val="00C65114"/>
    <w:rsid w:val="00CA0EA8"/>
    <w:rsid w:val="00CA114F"/>
    <w:rsid w:val="00CB49A7"/>
    <w:rsid w:val="00CC1157"/>
    <w:rsid w:val="00CC7EAF"/>
    <w:rsid w:val="00CE1C83"/>
    <w:rsid w:val="00D12F84"/>
    <w:rsid w:val="00D27262"/>
    <w:rsid w:val="00D42F66"/>
    <w:rsid w:val="00D83071"/>
    <w:rsid w:val="00DA6789"/>
    <w:rsid w:val="00DB58DF"/>
    <w:rsid w:val="00DD0BAD"/>
    <w:rsid w:val="00DE5F61"/>
    <w:rsid w:val="00E05C90"/>
    <w:rsid w:val="00E25EE1"/>
    <w:rsid w:val="00E40279"/>
    <w:rsid w:val="00E65488"/>
    <w:rsid w:val="00EA0EC1"/>
    <w:rsid w:val="00EA190B"/>
    <w:rsid w:val="00EB0430"/>
    <w:rsid w:val="00EB1F53"/>
    <w:rsid w:val="00EE245D"/>
    <w:rsid w:val="00EE2F4F"/>
    <w:rsid w:val="00F352D8"/>
    <w:rsid w:val="00F43955"/>
    <w:rsid w:val="00F6359B"/>
    <w:rsid w:val="00F730C3"/>
    <w:rsid w:val="00F84245"/>
    <w:rsid w:val="00FD357E"/>
    <w:rsid w:val="00FD7ED0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2B41"/>
  <w15:chartTrackingRefBased/>
  <w15:docId w15:val="{422DDE33-3AC3-486A-B387-39531D70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7F6A"/>
    <w:pPr>
      <w:spacing w:after="160" w:line="259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A6E72"/>
    <w:pPr>
      <w:keepNext/>
      <w:keepLines/>
      <w:numPr>
        <w:ilvl w:val="1"/>
        <w:numId w:val="1"/>
      </w:numPr>
      <w:spacing w:before="360" w:after="0" w:line="240" w:lineRule="auto"/>
      <w:jc w:val="left"/>
      <w:outlineLvl w:val="1"/>
    </w:pPr>
    <w:rPr>
      <w:rFonts w:ascii="Proba Pro" w:eastAsiaTheme="majorEastAsia" w:hAnsi="Proba Pro" w:cstheme="majorBidi"/>
      <w:caps/>
      <w:noProof/>
      <w:color w:val="000000" w:themeColor="text1"/>
      <w:spacing w:val="30"/>
      <w:kern w:val="0"/>
      <w:sz w:val="24"/>
      <w:szCs w:val="24"/>
      <w:lang w:val="en-US"/>
      <w14:ligatures w14:val="none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unhideWhenUsed/>
    <w:qFormat/>
    <w:rsid w:val="00AA6E72"/>
    <w:pPr>
      <w:keepNext/>
      <w:keepLines/>
      <w:numPr>
        <w:ilvl w:val="4"/>
        <w:numId w:val="1"/>
      </w:numPr>
      <w:spacing w:before="40" w:after="0" w:line="240" w:lineRule="auto"/>
      <w:jc w:val="left"/>
      <w:outlineLvl w:val="4"/>
    </w:pPr>
    <w:rPr>
      <w:rFonts w:asciiTheme="majorHAnsi" w:eastAsiaTheme="majorEastAsia" w:hAnsiTheme="majorHAnsi" w:cstheme="majorBidi"/>
      <w:noProof/>
      <w:color w:val="2F5496" w:themeColor="accent1" w:themeShade="BF"/>
      <w:kern w:val="0"/>
      <w:sz w:val="16"/>
      <w14:ligatures w14:val="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A6E72"/>
    <w:pPr>
      <w:keepNext/>
      <w:keepLines/>
      <w:numPr>
        <w:ilvl w:val="5"/>
        <w:numId w:val="1"/>
      </w:numPr>
      <w:spacing w:before="40" w:after="0" w:line="240" w:lineRule="auto"/>
      <w:jc w:val="left"/>
      <w:outlineLvl w:val="5"/>
    </w:pPr>
    <w:rPr>
      <w:rFonts w:asciiTheme="majorHAnsi" w:eastAsiaTheme="majorEastAsia" w:hAnsiTheme="majorHAnsi" w:cstheme="majorBidi"/>
      <w:noProof/>
      <w:color w:val="1F3763" w:themeColor="accent1" w:themeShade="7F"/>
      <w:kern w:val="0"/>
      <w:sz w:val="16"/>
      <w14:ligatures w14:val="none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A6E72"/>
    <w:pPr>
      <w:keepNext/>
      <w:keepLines/>
      <w:numPr>
        <w:ilvl w:val="6"/>
        <w:numId w:val="1"/>
      </w:numPr>
      <w:spacing w:before="40" w:after="0" w:line="240" w:lineRule="auto"/>
      <w:jc w:val="left"/>
      <w:outlineLvl w:val="6"/>
    </w:pPr>
    <w:rPr>
      <w:rFonts w:asciiTheme="majorHAnsi" w:eastAsiaTheme="majorEastAsia" w:hAnsiTheme="majorHAnsi" w:cstheme="majorBidi"/>
      <w:i/>
      <w:iCs/>
      <w:noProof/>
      <w:color w:val="1F3763" w:themeColor="accent1" w:themeShade="7F"/>
      <w:kern w:val="0"/>
      <w:sz w:val="16"/>
      <w14:ligatures w14:val="none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A6E72"/>
    <w:pPr>
      <w:keepNext/>
      <w:keepLines/>
      <w:numPr>
        <w:ilvl w:val="7"/>
        <w:numId w:val="1"/>
      </w:numPr>
      <w:spacing w:before="40" w:after="0" w:line="240" w:lineRule="auto"/>
      <w:jc w:val="left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A6E72"/>
    <w:pPr>
      <w:keepNext/>
      <w:keepLines/>
      <w:numPr>
        <w:ilvl w:val="8"/>
        <w:numId w:val="1"/>
      </w:numPr>
      <w:spacing w:before="40" w:after="0" w:line="240" w:lineRule="auto"/>
      <w:jc w:val="left"/>
      <w:outlineLvl w:val="8"/>
    </w:pPr>
    <w:rPr>
      <w:rFonts w:asciiTheme="majorHAnsi" w:eastAsiaTheme="majorEastAsia" w:hAnsiTheme="majorHAnsi" w:cstheme="majorBidi"/>
      <w:i/>
      <w:iCs/>
      <w:noProof/>
      <w:color w:val="272727" w:themeColor="text1" w:themeTint="D8"/>
      <w:kern w:val="0"/>
      <w:sz w:val="21"/>
      <w:szCs w:val="21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A6E72"/>
    <w:rPr>
      <w:rFonts w:ascii="Proba Pro" w:eastAsiaTheme="majorEastAsia" w:hAnsi="Proba Pro" w:cstheme="majorBidi"/>
      <w:caps/>
      <w:noProof/>
      <w:color w:val="000000" w:themeColor="text1"/>
      <w:spacing w:val="30"/>
      <w:kern w:val="0"/>
      <w:sz w:val="24"/>
      <w:szCs w:val="24"/>
      <w:lang w:val="en-US"/>
      <w14:ligatures w14:val="none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"/>
    <w:rsid w:val="00AA6E72"/>
    <w:rPr>
      <w:rFonts w:asciiTheme="majorHAnsi" w:eastAsiaTheme="majorEastAsia" w:hAnsiTheme="majorHAnsi" w:cstheme="majorBidi"/>
      <w:noProof/>
      <w:color w:val="2F5496" w:themeColor="accent1" w:themeShade="BF"/>
      <w:kern w:val="0"/>
      <w:sz w:val="16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rsid w:val="00AA6E72"/>
    <w:rPr>
      <w:rFonts w:asciiTheme="majorHAnsi" w:eastAsiaTheme="majorEastAsia" w:hAnsiTheme="majorHAnsi" w:cstheme="majorBidi"/>
      <w:noProof/>
      <w:color w:val="1F3763" w:themeColor="accent1" w:themeShade="7F"/>
      <w:kern w:val="0"/>
      <w:sz w:val="16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rsid w:val="00AA6E72"/>
    <w:rPr>
      <w:rFonts w:asciiTheme="majorHAnsi" w:eastAsiaTheme="majorEastAsia" w:hAnsiTheme="majorHAnsi" w:cstheme="majorBidi"/>
      <w:i/>
      <w:iCs/>
      <w:noProof/>
      <w:color w:val="1F3763" w:themeColor="accent1" w:themeShade="7F"/>
      <w:kern w:val="0"/>
      <w:sz w:val="16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rsid w:val="00AA6E72"/>
    <w:rPr>
      <w:rFonts w:asciiTheme="majorHAnsi" w:eastAsiaTheme="majorEastAsia" w:hAnsiTheme="majorHAnsi" w:cstheme="majorBidi"/>
      <w:noProof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rsid w:val="00AA6E72"/>
    <w:rPr>
      <w:rFonts w:asciiTheme="majorHAnsi" w:eastAsiaTheme="majorEastAsia" w:hAnsiTheme="majorHAnsi" w:cstheme="majorBidi"/>
      <w:i/>
      <w:iCs/>
      <w:noProof/>
      <w:color w:val="272727" w:themeColor="text1" w:themeTint="D8"/>
      <w:kern w:val="0"/>
      <w:sz w:val="21"/>
      <w:szCs w:val="21"/>
      <w14:ligatures w14:val="none"/>
    </w:rPr>
  </w:style>
  <w:style w:type="paragraph" w:customStyle="1" w:styleId="SAP1">
    <w:name w:val="SAŽP 1"/>
    <w:basedOn w:val="Nadpis2"/>
    <w:qFormat/>
    <w:rsid w:val="00AA6E72"/>
    <w:pPr>
      <w:keepNext w:val="0"/>
      <w:keepLines w:val="0"/>
      <w:widowControl w:val="0"/>
      <w:numPr>
        <w:numId w:val="2"/>
      </w:numPr>
      <w:spacing w:before="240" w:after="240"/>
      <w:jc w:val="both"/>
    </w:pPr>
    <w:rPr>
      <w:b/>
      <w:color w:val="008998"/>
      <w:sz w:val="20"/>
      <w:szCs w:val="20"/>
      <w:lang w:eastAsia="sk-SK"/>
    </w:rPr>
  </w:style>
  <w:style w:type="paragraph" w:customStyle="1" w:styleId="Default">
    <w:name w:val="Default"/>
    <w:rsid w:val="00DE5F61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qFormat/>
    <w:rsid w:val="00BA0531"/>
    <w:pPr>
      <w:ind w:left="720"/>
      <w:contextualSpacing/>
      <w:jc w:val="left"/>
    </w:pPr>
    <w:rPr>
      <w:rFonts w:asciiTheme="minorHAnsi" w:hAnsiTheme="minorHAnsi" w:cstheme="minorBidi"/>
      <w:kern w:val="0"/>
      <w14:ligatures w14:val="non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BA0531"/>
    <w:rPr>
      <w:rFonts w:asciiTheme="minorHAnsi" w:hAnsiTheme="minorHAnsi" w:cstheme="minorBidi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408C"/>
  </w:style>
  <w:style w:type="paragraph" w:styleId="Pta">
    <w:name w:val="footer"/>
    <w:basedOn w:val="Normlny"/>
    <w:link w:val="PtaChar"/>
    <w:uiPriority w:val="99"/>
    <w:unhideWhenUsed/>
    <w:rsid w:val="001E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408C"/>
  </w:style>
  <w:style w:type="paragraph" w:customStyle="1" w:styleId="Styl3">
    <w:name w:val="Styl3"/>
    <w:basedOn w:val="Normlny"/>
    <w:rsid w:val="002F4D3D"/>
    <w:pPr>
      <w:spacing w:line="360" w:lineRule="auto"/>
      <w:jc w:val="left"/>
    </w:pPr>
    <w:rPr>
      <w:rFonts w:ascii="Arial" w:eastAsia="Times New Roman" w:hAnsi="Arial"/>
      <w:kern w:val="0"/>
      <w:sz w:val="20"/>
      <w:szCs w:val="24"/>
      <w:lang w:eastAsia="cs-CZ"/>
      <w14:ligatures w14:val="none"/>
    </w:rPr>
  </w:style>
  <w:style w:type="paragraph" w:styleId="Bezriadkovania">
    <w:name w:val="No Spacing"/>
    <w:uiPriority w:val="1"/>
    <w:qFormat/>
    <w:rsid w:val="007C646B"/>
    <w:pPr>
      <w:jc w:val="left"/>
    </w:pPr>
    <w:rPr>
      <w:rFonts w:asciiTheme="minorHAnsi" w:hAnsiTheme="minorHAnsi" w:cstheme="minorBidi"/>
      <w:kern w:val="0"/>
      <w14:ligatures w14:val="none"/>
    </w:rPr>
  </w:style>
  <w:style w:type="paragraph" w:styleId="Zarkazkladnhotextu2">
    <w:name w:val="Body Text Indent 2"/>
    <w:basedOn w:val="Normlny"/>
    <w:link w:val="Zarkazkladnhotextu2Char"/>
    <w:uiPriority w:val="99"/>
    <w:rsid w:val="001A22AD"/>
    <w:pPr>
      <w:spacing w:after="0" w:line="240" w:lineRule="auto"/>
      <w:ind w:left="360"/>
    </w:pPr>
    <w:rPr>
      <w:rFonts w:eastAsia="Calibri"/>
      <w:kern w:val="0"/>
      <w:sz w:val="24"/>
      <w:szCs w:val="20"/>
      <w:lang w:val="en-US" w:eastAsia="cs-CZ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A22AD"/>
    <w:rPr>
      <w:rFonts w:eastAsia="Calibri"/>
      <w:kern w:val="0"/>
      <w:sz w:val="24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C053-EDF0-4B61-9C46-7C7DD1F3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Demková Oľga, Ing.</dc:creator>
  <cp:keywords/>
  <dc:description/>
  <cp:lastModifiedBy>Imrich Vozar</cp:lastModifiedBy>
  <cp:revision>38</cp:revision>
  <cp:lastPrinted>2024-08-09T13:58:00Z</cp:lastPrinted>
  <dcterms:created xsi:type="dcterms:W3CDTF">2023-06-14T12:07:00Z</dcterms:created>
  <dcterms:modified xsi:type="dcterms:W3CDTF">2024-11-03T15:04:00Z</dcterms:modified>
</cp:coreProperties>
</file>