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798EDB4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6C3DB3" w:rsidRPr="006C3DB3">
        <w:rPr>
          <w:rFonts w:ascii="Arial" w:hAnsi="Arial" w:cs="Arial"/>
          <w:b/>
        </w:rPr>
        <w:t>Geodetické služby pre OZ Tatry - výzva č. 11/2024 (Altánok Borsučie)</w:t>
      </w:r>
      <w:r w:rsidRPr="0079022F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340D4736" w:rsidR="002724D6" w:rsidRPr="0079022F" w:rsidRDefault="00451BBF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51BBF">
        <w:rPr>
          <w:rFonts w:ascii="Arial" w:hAnsi="Arial" w:cs="Arial"/>
          <w:b/>
        </w:rPr>
        <w:t xml:space="preserve">Vyhotovenie geometrického plánu pre </w:t>
      </w:r>
      <w:proofErr w:type="spellStart"/>
      <w:r w:rsidR="00963A6D" w:rsidRPr="00963A6D">
        <w:rPr>
          <w:rFonts w:ascii="Arial" w:hAnsi="Arial" w:cs="Arial"/>
          <w:b/>
        </w:rPr>
        <w:t>porealizačné</w:t>
      </w:r>
      <w:proofErr w:type="spellEnd"/>
      <w:r w:rsidR="00963A6D" w:rsidRPr="00963A6D">
        <w:rPr>
          <w:rFonts w:ascii="Arial" w:hAnsi="Arial" w:cs="Arial"/>
          <w:b/>
        </w:rPr>
        <w:t xml:space="preserve"> zameranie stavby (altánku Borsučie)  na p. KNC č. 21215/13 v </w:t>
      </w:r>
      <w:proofErr w:type="spellStart"/>
      <w:r w:rsidR="00963A6D" w:rsidRPr="00963A6D">
        <w:rPr>
          <w:rFonts w:ascii="Arial" w:hAnsi="Arial" w:cs="Arial"/>
          <w:b/>
        </w:rPr>
        <w:t>k.ú</w:t>
      </w:r>
      <w:proofErr w:type="spellEnd"/>
      <w:r w:rsidR="00963A6D" w:rsidRPr="00963A6D">
        <w:rPr>
          <w:rFonts w:ascii="Arial" w:hAnsi="Arial" w:cs="Arial"/>
          <w:b/>
        </w:rPr>
        <w:t xml:space="preserve">. Oravská Polhora, LV 805,odčlenenie parcely pod stavbou altánku, vonkajšieho ohniska so sedením a oporného múru </w:t>
      </w:r>
      <w:bookmarkStart w:id="0" w:name="_GoBack"/>
      <w:bookmarkEnd w:id="0"/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0174A" w14:textId="77777777" w:rsidR="007215FF" w:rsidRDefault="007215FF" w:rsidP="0094772E">
      <w:r>
        <w:separator/>
      </w:r>
    </w:p>
  </w:endnote>
  <w:endnote w:type="continuationSeparator" w:id="0">
    <w:p w14:paraId="77372C77" w14:textId="77777777" w:rsidR="007215FF" w:rsidRDefault="007215F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AC81E" w14:textId="77777777" w:rsidR="007215FF" w:rsidRDefault="007215FF" w:rsidP="0094772E">
      <w:r>
        <w:separator/>
      </w:r>
    </w:p>
  </w:footnote>
  <w:footnote w:type="continuationSeparator" w:id="0">
    <w:p w14:paraId="133BAD13" w14:textId="77777777" w:rsidR="007215FF" w:rsidRDefault="007215F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66E89"/>
    <w:rsid w:val="00BA2341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55C7-BBF2-45A0-8EB3-27C47219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30</cp:revision>
  <cp:lastPrinted>2023-08-17T08:20:00Z</cp:lastPrinted>
  <dcterms:created xsi:type="dcterms:W3CDTF">2024-04-17T07:34:00Z</dcterms:created>
  <dcterms:modified xsi:type="dcterms:W3CDTF">2024-11-04T09:51:00Z</dcterms:modified>
</cp:coreProperties>
</file>