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1E522" w14:textId="77777777" w:rsidR="00481FA9" w:rsidRPr="00481FA9" w:rsidRDefault="00481FA9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Pl</w:t>
      </w:r>
      <w:r w:rsidR="00F07843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ánovanie a rozvoj mestskej časti</w:t>
      </w:r>
    </w:p>
    <w:p w14:paraId="099014E2" w14:textId="77777777" w:rsidR="00481FA9" w:rsidRPr="00481FA9" w:rsidRDefault="00481FA9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Kensington</w:t>
      </w:r>
      <w:r w:rsidR="006F6C86">
        <w:rPr>
          <w:rFonts w:ascii="Times New Roman" w:eastAsia="ArialMT" w:hAnsi="Times New Roman" w:cs="Times New Roman"/>
          <w:color w:val="000000"/>
          <w:sz w:val="24"/>
          <w:szCs w:val="24"/>
        </w:rPr>
        <w:t>ská</w:t>
      </w:r>
      <w:proofErr w:type="spellEnd"/>
      <w:r w:rsidR="006F6C86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radnica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Hor</w:t>
      </w:r>
      <w:r w:rsidR="006F6C86">
        <w:rPr>
          <w:rFonts w:ascii="Times New Roman" w:eastAsia="ArialMT" w:hAnsi="Times New Roman" w:cs="Times New Roman"/>
          <w:color w:val="000000"/>
          <w:sz w:val="24"/>
          <w:szCs w:val="24"/>
        </w:rPr>
        <w:t>nton</w:t>
      </w:r>
      <w:proofErr w:type="spellEnd"/>
      <w:r w:rsidR="006F6C86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6C86">
        <w:rPr>
          <w:rFonts w:ascii="Times New Roman" w:eastAsia="ArialMT" w:hAnsi="Times New Roman" w:cs="Times New Roman"/>
          <w:color w:val="000000"/>
          <w:sz w:val="24"/>
          <w:szCs w:val="24"/>
        </w:rPr>
        <w:t>Street</w:t>
      </w:r>
      <w:proofErr w:type="spellEnd"/>
      <w:r w:rsidR="006F6C86">
        <w:rPr>
          <w:rFonts w:ascii="Times New Roman" w:eastAsia="ArialMT" w:hAnsi="Times New Roman" w:cs="Times New Roman"/>
          <w:color w:val="000000"/>
          <w:sz w:val="24"/>
          <w:szCs w:val="24"/>
        </w:rPr>
        <w:t>, LONDÝ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N, W8 7NX</w:t>
      </w:r>
    </w:p>
    <w:p w14:paraId="777DD92C" w14:textId="77777777" w:rsidR="00870600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2015A3B" w14:textId="77777777" w:rsidR="00481FA9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Výkonný riaditeľ pre plánovanie a rozvoj mestskej časti</w:t>
      </w:r>
    </w:p>
    <w:p w14:paraId="78EF5CFA" w14:textId="77777777" w:rsidR="00481FA9" w:rsidRDefault="00481FA9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Graham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Stallwood</w:t>
      </w:r>
      <w:proofErr w:type="spellEnd"/>
    </w:p>
    <w:p w14:paraId="11CED0F8" w14:textId="77777777" w:rsidR="00870600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46336E2B" w14:textId="77777777" w:rsidR="00481FA9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p.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Lunter</w:t>
      </w:r>
      <w:proofErr w:type="spellEnd"/>
    </w:p>
    <w:p w14:paraId="3E164AAD" w14:textId="77777777" w:rsidR="00481FA9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Stavebné návrhy</w:t>
      </w:r>
    </w:p>
    <w:p w14:paraId="783BADA1" w14:textId="77777777" w:rsidR="00481FA9" w:rsidRPr="00481FA9" w:rsidRDefault="00481FA9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38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Terrace</w:t>
      </w:r>
      <w:proofErr w:type="spellEnd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Road </w:t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D</w:t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>ňa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: 23/01/2018</w:t>
      </w:r>
    </w:p>
    <w:p w14:paraId="2480F113" w14:textId="77777777" w:rsidR="00481FA9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Londý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n</w:t>
      </w:r>
    </w:p>
    <w:p w14:paraId="01AD3BD9" w14:textId="77777777" w:rsidR="00481FA9" w:rsidRDefault="00481FA9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E9 7ES</w:t>
      </w:r>
    </w:p>
    <w:p w14:paraId="6DDDB46B" w14:textId="77777777" w:rsidR="00870600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6D5F5CBD" w14:textId="77777777" w:rsidR="00870600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7E75B6C4" w14:textId="77777777" w:rsidR="00481FA9" w:rsidRDefault="006F6C86" w:rsidP="00870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Naše</w:t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>ref</w:t>
      </w:r>
      <w:proofErr w:type="spellEnd"/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>. č.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: PP/17/07295</w:t>
      </w:r>
    </w:p>
    <w:p w14:paraId="04F18401" w14:textId="77777777" w:rsidR="00870600" w:rsidRPr="00481FA9" w:rsidRDefault="00870600" w:rsidP="00870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4061C526" w14:textId="77777777" w:rsidR="00481FA9" w:rsidRDefault="006F6C86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Vážený pán/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vážená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pani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</w:p>
    <w:p w14:paraId="01D511C9" w14:textId="77777777" w:rsidR="00870600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6617EA5D" w14:textId="77777777" w:rsidR="00481FA9" w:rsidRPr="00870600" w:rsidRDefault="00870600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ZÁKON O ÚZEMNOM PLÁNOVANÍ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6F6C86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Z ROKU 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1990</w:t>
      </w:r>
    </w:p>
    <w:p w14:paraId="3E86E148" w14:textId="77777777" w:rsidR="00870600" w:rsidRPr="00870600" w:rsidRDefault="00870600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77D5C6C" w14:textId="77777777" w:rsidR="00481FA9" w:rsidRPr="00870600" w:rsidRDefault="006F6C86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VÝNOS O ÚZEMNOM</w:t>
      </w:r>
      <w:r w:rsid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PLÁNOVAN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Í</w:t>
      </w:r>
    </w:p>
    <w:p w14:paraId="7F4F9032" w14:textId="77777777" w:rsidR="00481FA9" w:rsidRPr="00870600" w:rsidRDefault="00012EC7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(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POSTUP RIADENIA </w:t>
      </w:r>
      <w:r w:rsidR="006F6C86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ROZVOJA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) </w:t>
      </w:r>
      <w:r w:rsidR="006F6C86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Z ROKU 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2010</w:t>
      </w:r>
    </w:p>
    <w:p w14:paraId="2A5BBCC3" w14:textId="77777777" w:rsidR="00870600" w:rsidRPr="00870600" w:rsidRDefault="00870600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C653C37" w14:textId="77777777" w:rsidR="00481FA9" w:rsidRPr="00870600" w:rsidRDefault="00870600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Povolenie</w:t>
      </w:r>
      <w:r w:rsidR="006F6C86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na vykonanie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012EC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stavebných úprav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podmienené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)</w:t>
      </w:r>
    </w:p>
    <w:p w14:paraId="72C3C65F" w14:textId="77777777" w:rsidR="00870600" w:rsidRPr="00481FA9" w:rsidRDefault="00870600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B9E13C9" w14:textId="77777777" w:rsidR="00481FA9" w:rsidRPr="00481FA9" w:rsidRDefault="006F6C86" w:rsidP="006F6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Mestská časť Royal </w:t>
      </w:r>
      <w:proofErr w:type="spellStart"/>
      <w:r>
        <w:rPr>
          <w:rFonts w:ascii="Times New Roman" w:eastAsia="ArialMT" w:hAnsi="Times New Roman" w:cs="Times New Roman"/>
          <w:color w:val="000000"/>
          <w:sz w:val="24"/>
          <w:szCs w:val="24"/>
        </w:rPr>
        <w:t>Borough</w:t>
      </w:r>
      <w:proofErr w:type="spellEnd"/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of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Kensington</w:t>
      </w:r>
      <w:proofErr w:type="spellEnd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Chelsea</w:t>
      </w:r>
      <w:proofErr w:type="spellEnd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BF6F8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(RBKC) 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týmto UDEĽUJE POVOLENIE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na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vykonanie stavebných úprav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uveden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ých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 priloženej prílohe, na ktoré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sa vzťahujú nižšie stanovené p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>odmienky a ktoré sa musia vykonať podľa predložených plánov 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inform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>ácií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5A69E7CD" w14:textId="77777777" w:rsidR="00012EC7" w:rsidRDefault="00012EC7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BEE7EE3" w14:textId="77777777" w:rsidR="00481FA9" w:rsidRPr="00481FA9" w:rsidRDefault="00BF6F8C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Prosím</w:t>
      </w:r>
      <w:r w:rsidR="003D621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neprehliadnite priložený 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inform</w:t>
      </w:r>
      <w:r w:rsidR="006F6C86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ačný hárok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.</w:t>
      </w:r>
    </w:p>
    <w:p w14:paraId="77869504" w14:textId="77777777" w:rsidR="00012EC7" w:rsidRDefault="00012EC7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10FB065" w14:textId="77777777" w:rsidR="00481FA9" w:rsidRPr="00012EC7" w:rsidRDefault="00BF6F8C" w:rsidP="00012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PRÍLOHA</w:t>
      </w:r>
    </w:p>
    <w:p w14:paraId="51EEC292" w14:textId="77777777" w:rsidR="00012EC7" w:rsidRDefault="00012EC7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FAB3780" w14:textId="037599E6" w:rsidR="00481FA9" w:rsidRPr="00481FA9" w:rsidRDefault="00BF6F8C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Stavebné úpravy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Zmena 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>vy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užívania tretieho poschodia z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> kancelárskych priestorov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4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bytové jednotky a druhého poschodia z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 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>bytových jednotiek na kancelárske priestory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Úpravy 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zahŕňajú 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>montáž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okien s dvojitým zasklením, odstráneni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predného plyno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>mera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 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>vytvoreni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rozvodných sietí 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>cez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územie </w:t>
      </w:r>
      <w:proofErr w:type="spellStart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Kensington</w:t>
      </w:r>
      <w:proofErr w:type="spellEnd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Palace</w:t>
      </w:r>
      <w:proofErr w:type="spellEnd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Gardens</w:t>
      </w:r>
      <w:proofErr w:type="spellEnd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767D1458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78274EC" w14:textId="77777777" w:rsidR="00481FA9" w:rsidRPr="00481FA9" w:rsidRDefault="00ED2A77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Miesto výkonu prác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  <w:t xml:space="preserve">Veľvyslanectvo 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Slov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enskej republiky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, 25 </w:t>
      </w:r>
      <w:proofErr w:type="spellStart"/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Kensington</w:t>
      </w:r>
      <w:proofErr w:type="spellEnd"/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Palace</w:t>
      </w:r>
      <w:proofErr w:type="spellEnd"/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Gardens</w:t>
      </w:r>
      <w:proofErr w:type="spellEnd"/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, LONDÝ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N, W8 4QY</w:t>
      </w:r>
    </w:p>
    <w:p w14:paraId="22CC4C71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29D4233" w14:textId="77777777" w:rsidR="00481FA9" w:rsidRPr="00481FA9" w:rsidRDefault="00BF6F8C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Čísla nákresov RBKC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PP/17/07295 PP/17/07295/A</w:t>
      </w:r>
    </w:p>
    <w:p w14:paraId="36016C61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FA79483" w14:textId="77777777" w:rsidR="00481FA9" w:rsidRPr="00481FA9" w:rsidRDefault="00012EC7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Čísla nákresov žiadateľa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DE: /011, /110, /120 A, /130 A, 140, /150, /160, /170, /180,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//210, 220, 230, /240, /310 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/320. DT: /102 B 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/114.</w:t>
      </w:r>
    </w:p>
    <w:p w14:paraId="0AF9462D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EX: /010, /011, /110, /120 A, /130 A, /140, 150, /160, /170,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/180, /210, /220, /230, /240, /310 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/320.</w:t>
      </w:r>
    </w:p>
    <w:p w14:paraId="1805E512" w14:textId="77777777" w:rsidR="00481FA9" w:rsidRDefault="00481FA9" w:rsidP="0026007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PL: /011, /012 B, /110, /120 A, /130 A, /140, /150, /160 A,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/170, /180, /210, /220, /230 /240, /310 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/320.</w:t>
      </w:r>
    </w:p>
    <w:p w14:paraId="3531AA46" w14:textId="77777777" w:rsidR="00ED2A77" w:rsidRPr="00481FA9" w:rsidRDefault="00ED2A77" w:rsidP="0026007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4D5E04E3" w14:textId="77777777" w:rsidR="00481FA9" w:rsidRDefault="00012EC7" w:rsidP="00BF6F8C">
      <w:pPr>
        <w:autoSpaceDE w:val="0"/>
        <w:autoSpaceDN w:val="0"/>
        <w:adjustRightInd w:val="0"/>
        <w:spacing w:after="0" w:line="240" w:lineRule="auto"/>
        <w:ind w:left="3119" w:hanging="3119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Dátum</w:t>
      </w:r>
      <w:r w:rsidR="00ED2A77" w:rsidRP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podania</w:t>
      </w:r>
      <w:r w:rsidRP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žiadosti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27/11/2017</w:t>
      </w:r>
    </w:p>
    <w:p w14:paraId="2AEE60EB" w14:textId="77777777" w:rsidR="00ED2A77" w:rsidRPr="00481FA9" w:rsidRDefault="00ED2A77" w:rsidP="00BF6F8C">
      <w:pPr>
        <w:autoSpaceDE w:val="0"/>
        <w:autoSpaceDN w:val="0"/>
        <w:adjustRightInd w:val="0"/>
        <w:spacing w:after="0" w:line="240" w:lineRule="auto"/>
        <w:ind w:left="3119" w:hanging="3119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1608D2CB" w14:textId="77777777" w:rsidR="00481FA9" w:rsidRDefault="00012EC7" w:rsidP="00BF6F8C">
      <w:pPr>
        <w:autoSpaceDE w:val="0"/>
        <w:autoSpaceDN w:val="0"/>
        <w:adjustRightInd w:val="0"/>
        <w:spacing w:after="0" w:line="240" w:lineRule="auto"/>
        <w:ind w:left="3119" w:hanging="3119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Doplnenie žiadosti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28/11/2017</w:t>
      </w:r>
    </w:p>
    <w:p w14:paraId="6B8B6ACB" w14:textId="77777777" w:rsidR="00ED2A77" w:rsidRPr="00481FA9" w:rsidRDefault="00ED2A77" w:rsidP="00BF6F8C">
      <w:pPr>
        <w:autoSpaceDE w:val="0"/>
        <w:autoSpaceDN w:val="0"/>
        <w:adjustRightInd w:val="0"/>
        <w:spacing w:after="0" w:line="240" w:lineRule="auto"/>
        <w:ind w:left="3119" w:hanging="3119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5E8CDEA9" w14:textId="77777777" w:rsidR="00481FA9" w:rsidRPr="00481FA9" w:rsidRDefault="00012EC7" w:rsidP="00BF6F8C">
      <w:pPr>
        <w:autoSpaceDE w:val="0"/>
        <w:autoSpaceDN w:val="0"/>
        <w:adjustRightInd w:val="0"/>
        <w:spacing w:after="0" w:line="240" w:lineRule="auto"/>
        <w:ind w:left="3119" w:hanging="3119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Prehodnotenie žiadosti</w:t>
      </w:r>
      <w:r w:rsid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: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22/01/2018</w:t>
      </w:r>
    </w:p>
    <w:p w14:paraId="5D46EF68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55B45D9" w14:textId="77777777" w:rsidR="00481FA9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VŠETKY PODMIENKY, DÔVODY ICH STANOVENIA A 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POUČENIE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SÚ UVEDENÉ NA ĎALŠEJ STRANE</w:t>
      </w:r>
    </w:p>
    <w:p w14:paraId="199339E0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0200803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7E0396D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007D85F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804A32F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4F5006A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61DC124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E876BBA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C3C9CC1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C567E50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D38B9FA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443697D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932A6B1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731BCAD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A2013AA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B9F19EE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1B289A3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9572BAC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0335042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B9AC798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BE80755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F6E1E0B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E8387DA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6FF99C6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6BB2A34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54EEE98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0243807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8863338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F67BA8B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96C401D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8E4554E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AA950BB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C8ABCAD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174E8CE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D13E3E7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F1AF02F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77CF7B2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037191E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CCB693E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623E3BD" w14:textId="77777777" w:rsidR="0067448D" w:rsidRDefault="0067448D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66F13FF" w14:textId="77777777" w:rsidR="0067448D" w:rsidRDefault="0067448D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2914518" w14:textId="09E4B7E2" w:rsidR="004B56BE" w:rsidRDefault="00ED2A77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lastRenderedPageBreak/>
        <w:t>PODMIENKY A DÔVODY ICH STANOVENIA</w:t>
      </w:r>
    </w:p>
    <w:p w14:paraId="0A146DD5" w14:textId="77777777" w:rsidR="00ED2A77" w:rsidRDefault="00ED2A77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CC63C20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Lehota plnenia</w:t>
      </w:r>
    </w:p>
    <w:p w14:paraId="6BFD76DB" w14:textId="77777777" w:rsidR="00481FA9" w:rsidRPr="00481FA9" w:rsidRDefault="00ED2A77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Týmto povolené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stavebné úpravy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sa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musia začať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vykonávať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do troch rokov od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o dňa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udelenia tohto povolenia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.</w:t>
      </w:r>
    </w:p>
    <w:p w14:paraId="75C5AA97" w14:textId="519DC26D" w:rsidR="00481FA9" w:rsidRPr="00481FA9" w:rsidRDefault="004B56BE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  <w:u w:val="single"/>
        </w:rPr>
        <w:t>Dôvod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–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Tak, ako to požaduje čl.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91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zákona o územnom plánovaní z roku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1990,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dôvodom</w:t>
      </w:r>
      <w:r w:rsidR="003D621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je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snaha vyhnúť sa nahromadeniu nevykonaných </w:t>
      </w:r>
      <w:r w:rsidR="00ED2A77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územných rozhodnutí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.</w:t>
      </w:r>
    </w:p>
    <w:p w14:paraId="3B2E4696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956B956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Dodržanie schválených nákresov</w:t>
      </w:r>
    </w:p>
    <w:p w14:paraId="0F111813" w14:textId="77777777" w:rsidR="00481FA9" w:rsidRPr="00481FA9" w:rsidRDefault="004B56BE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Stavebné úpravy sa musia vykonať v plnom súlade s údajmi uvedenými v predložených plánoch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1FA9"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DE: /011, /110, /120 A, /130 A,</w:t>
      </w:r>
      <w:r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481FA9"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140, /150, /160, /170, /180, //210, 220, 230, /240, /310 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/320. DT: /102 B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a</w:t>
      </w:r>
      <w:r w:rsidR="00481FA9"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/114.</w:t>
      </w:r>
    </w:p>
    <w:p w14:paraId="1DD53FE3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</w:pP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EX: /010, /011, /110, /120 A, /130 A, /140, 150, /160, /170, /180, /210, /220,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/230, /240, /310 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a</w:t>
      </w: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/320.</w:t>
      </w:r>
    </w:p>
    <w:p w14:paraId="190096AC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</w:pP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PL: /011, /012 B, /110, /120 A, /130 A, /140, /150, /160 A, /170, /180, /210,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/220, /230 /240, /310 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a</w:t>
      </w: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/320.</w:t>
      </w:r>
    </w:p>
    <w:p w14:paraId="46A10898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</w:p>
    <w:p w14:paraId="2AD38D55" w14:textId="77777777" w:rsidR="00481FA9" w:rsidRPr="00481FA9" w:rsidRDefault="00BB5AE9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  <w:u w:val="single"/>
        </w:rPr>
        <w:t>Dôvod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–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T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ieto údaje sú zásadné pre akceptovateľnosť návrhov a pre zaistenie súladu s plánom </w:t>
      </w:r>
      <w:r w:rsidR="00ED2A77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rozvoja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.</w:t>
      </w:r>
    </w:p>
    <w:p w14:paraId="10E1AEC1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CF9D06B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Materi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ály</w:t>
      </w: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–</w:t>
      </w: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prispôsobiť súčasným</w:t>
      </w:r>
    </w:p>
    <w:p w14:paraId="56BD7C73" w14:textId="5FA4F96A" w:rsidR="00481FA9" w:rsidRPr="00481FA9" w:rsidRDefault="001139EB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Všetky práce a opravy musia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mať takú konečnú úpravu, ktorá sa bude hodiť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k súčasnému exteriéru budovy/budov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pokiaľ ide o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materi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ál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, farby, </w:t>
      </w:r>
      <w:r w:rsidR="009E7EF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štruktúr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u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a profil. V</w:t>
      </w:r>
      <w:r w:rsidR="009E7EF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 prípade tehlovej stavby sa musí zachovať fasádová tehla a š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k</w:t>
      </w:r>
      <w:r w:rsidR="009E7EF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árovanie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.</w:t>
      </w:r>
    </w:p>
    <w:p w14:paraId="3E5C30FA" w14:textId="68190399" w:rsidR="00481FA9" w:rsidRDefault="009E7EF0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  <w:u w:val="single"/>
        </w:rPr>
        <w:t>Dôvod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–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Zachova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nie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alebo zlepš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enie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vzhľad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u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budovy resp. charak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ter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u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oblasti podľa pravidiel plánu rozvoja, najmä pravidiel 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CL1, CL2, CL3 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a CL6 K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onsolidovaného miestneho plánu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.</w:t>
      </w:r>
    </w:p>
    <w:p w14:paraId="71CFC18E" w14:textId="77777777" w:rsidR="004B56BE" w:rsidRPr="00481FA9" w:rsidRDefault="004B56BE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</w:p>
    <w:p w14:paraId="4A416384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B361FD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S</w:t>
      </w:r>
      <w:r w:rsidR="009E7EF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klo </w:t>
      </w:r>
      <w:r w:rsidR="00B65F38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nesmie</w:t>
      </w:r>
      <w:r w:rsidR="009E7EF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byť</w:t>
      </w:r>
      <w:r w:rsidR="00B65F38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tónované a musí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mať</w:t>
      </w:r>
      <w:r w:rsidR="00B65F38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nízky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obsah</w:t>
      </w:r>
      <w:r w:rsidR="00B65F38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železa</w:t>
      </w:r>
    </w:p>
    <w:p w14:paraId="49938D67" w14:textId="77777777" w:rsidR="00B65F38" w:rsidRDefault="00B65F38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Sklo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v okenných jednotkách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nesmie byť tónované a musí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mať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nízky obsah železa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,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a t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akto sa musí udržiavať.</w:t>
      </w:r>
    </w:p>
    <w:p w14:paraId="3CA48913" w14:textId="3BFB67CC" w:rsidR="00481FA9" w:rsidRPr="00481FA9" w:rsidRDefault="009E7EF0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  <w:u w:val="single"/>
        </w:rPr>
        <w:t>Dôvod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- 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Zachova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nie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alebo zlepš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enie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vzhľad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u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budovy resp. charak</w:t>
      </w:r>
      <w:r w:rsidR="00110ACB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ter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u</w:t>
      </w:r>
      <w:r w:rsidR="00110ACB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oblasti podľa pravidiel plánu rozvoja, najmä pravidiel </w:t>
      </w:r>
      <w:r w:rsidR="00110ACB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CL1, CL2, CL3 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a CL6 Konsolidovaného miestneho plánu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.</w:t>
      </w:r>
    </w:p>
    <w:p w14:paraId="0F2B83E2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36F30BF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BADD958" w14:textId="77777777" w:rsidR="00481FA9" w:rsidRDefault="00BB5AE9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 w:rsidRP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POUČENIE</w:t>
      </w:r>
    </w:p>
    <w:p w14:paraId="4777C329" w14:textId="77777777" w:rsidR="00110ACB" w:rsidRPr="00BB5AE9" w:rsidRDefault="00110AC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886CC97" w14:textId="5B3CE4F0" w:rsidR="00481FA9" w:rsidRPr="00110ACB" w:rsidRDefault="003E66AA" w:rsidP="00110AC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Upozorňujeme vás na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podmienky tohto povolenia a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 na vykonávaciu právomoc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rady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, vrátane práv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omoci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podať oznámenie o porušení podmienok podľa zákona o územnom plánovaní z roku</w:t>
      </w:r>
      <w:r w:rsidR="00481FA9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1990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 znení neskorších predpisov. Je potrebné splniť všetky podmienky. Ak budete chcieť upraviť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ktorúkoľvek 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podmienku, môžete o to požiadať podľa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čl</w:t>
      </w:r>
      <w:r w:rsidR="00481FA9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.73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uvedeného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zákona </w:t>
      </w:r>
      <w:r w:rsidR="000B298F">
        <w:rPr>
          <w:rFonts w:ascii="Times New Roman" w:eastAsia="ArialMT" w:hAnsi="Times New Roman" w:cs="Times New Roman"/>
          <w:color w:val="000000"/>
          <w:sz w:val="24"/>
          <w:szCs w:val="24"/>
        </w:rPr>
        <w:t> spolu s vysvetlením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, prečo si myslíte, že už nie je potrebn</w:t>
      </w:r>
      <w:r w:rsidR="00095FF5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é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alebo </w:t>
      </w:r>
      <w:r w:rsidR="00095FF5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možné splniť túto podmienku</w:t>
      </w:r>
      <w:r w:rsidR="00481FA9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4663AEBF" w14:textId="77777777" w:rsidR="00110ACB" w:rsidRPr="00110ACB" w:rsidRDefault="00110ACB" w:rsidP="00110ACB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7933B2D2" w14:textId="22330DA6" w:rsidR="00481FA9" w:rsidRPr="00B328FA" w:rsidRDefault="00481FA9" w:rsidP="00B328FA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Územné rozhodnutie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sa týmto 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vydáva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 stavebné úpravy tak, ako sú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uvedené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 schválených nákresoch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. Pre niektoré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zmeny schváleného návrhu 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môže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byť potrebné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ďalšie povolenie a neoprávnené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z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>meny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môžu viesť k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 donucovacím opatreniam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>. Ak rozmýšľate o 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vykonaní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akýchkoľvek z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mien schválených stavebných úprav, pred začiatkom prác vám </w:t>
      </w:r>
      <w:r w:rsidR="000B298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odporúčame 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poradiť sa s riaditeľstvom pre plánovanie a rozvoj 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mestskej časti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="00BB5AE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k sa počas výkonu schválených prác objaví problém, </w:t>
      </w:r>
      <w:r w:rsidR="000B298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odporúčame 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poradiť </w:t>
      </w:r>
      <w:r w:rsidR="000B298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sa 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>ihneď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>, no samozrejme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je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0B298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vhodné 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vyhľadať poradenstvo čo najskôr, ako je to možné. 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Možnosti 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>po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radenstva nájdete v tomto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odkaze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: </w:t>
      </w:r>
      <w:r w:rsidR="00F55CCC">
        <w:rPr>
          <w:rFonts w:ascii="Times New Roman" w:eastAsia="ArialMT" w:hAnsi="Times New Roman" w:cs="Times New Roman"/>
          <w:color w:val="0000FF"/>
          <w:sz w:val="24"/>
          <w:szCs w:val="24"/>
        </w:rPr>
        <w:t>Poradenská služba</w:t>
      </w:r>
      <w:r w:rsidR="00B03AD9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pre plánovanie</w:t>
      </w:r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(</w:t>
      </w:r>
      <w:proofErr w:type="spellStart"/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>Planning</w:t>
      </w:r>
      <w:proofErr w:type="spellEnd"/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</w:t>
      </w:r>
      <w:proofErr w:type="spellStart"/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>Advice</w:t>
      </w:r>
      <w:proofErr w:type="spellEnd"/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Service).</w:t>
      </w:r>
    </w:p>
    <w:p w14:paraId="4F600F89" w14:textId="77777777" w:rsidR="00110ACB" w:rsidRPr="00481FA9" w:rsidRDefault="00110ACB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FF"/>
          <w:sz w:val="24"/>
          <w:szCs w:val="24"/>
        </w:rPr>
      </w:pPr>
    </w:p>
    <w:p w14:paraId="3340CE51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T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áto nehnuteľnosť sa nachádza v chránenej oblasti. Všetky stavebné práce by sa preto mali vykonávať veľmi opatrne. Práce na vonkajšej fasáde a 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>detailné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úpravy by mali 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mať 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t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akú 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konečnú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úpravu, ktorá 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sa hodí k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 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exist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ujúc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ej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budove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. V prípade akýchkoľvek pochybností o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 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spôsobe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výkonu 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prác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e sa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poraďte s riaditeľstvom pre plánovanie a rozvoj mestskej časti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="00BB5AE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</w:p>
    <w:p w14:paraId="5837C135" w14:textId="77777777" w:rsidR="00110ACB" w:rsidRDefault="00110ACB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DFBE88A" w14:textId="14E95262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Podľa stavebného zákona z roku 1984 a stavebných nariadení z roku 2000 (v znení neskorších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predpisov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) môže byť potrebné samostatné schválenie pre práce, ktoré boli týmto povolené/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odsúhlasené,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 vydanie územného rozhodnutia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neznamená, že takýto súhlas bude udelený. Pred začiatkom prác by ste sa mali poradiť s riaditeľom pre riadenie výstavby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mestská radnica,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Hornton</w:t>
      </w:r>
      <w:proofErr w:type="spellEnd"/>
      <w:r w:rsidR="00BB5AE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Street</w:t>
      </w:r>
      <w:proofErr w:type="spellEnd"/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, W8 7NX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7414F19D" w14:textId="77777777" w:rsidR="00110ACB" w:rsidRDefault="00110ACB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285FB0F" w14:textId="78147D46" w:rsidR="00BB5AE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5.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 cieľom pomôcť žiadateľom pri hľadaní riešení problémov vznikajúcich v súvislosti s ich návrhmi stavebných úprav vytvoril miestny orgán 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územného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plánovani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pravidlá plánovania a poskytol písomné usmernenia, ktoré sú k dispozícii na stránke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ady.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K dispozícii je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i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 poradenská 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služba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pred podaním žiadosti, hoci sa v tomto 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momente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nepoužíva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="00BB5AE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</w:p>
    <w:p w14:paraId="48FD655C" w14:textId="77777777" w:rsidR="00BB5AE9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3C265E60" w14:textId="77777777" w:rsidR="00481FA9" w:rsidRPr="00481FA9" w:rsidRDefault="00F223D3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Pri prvom podaní návrhy ne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spĺňali usmernenia, no žiadateľ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prijal zlepšenia navrhnuté 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orgánom územného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plánovania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26FF6E8E" w14:textId="77777777" w:rsidR="001147C2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</w:p>
    <w:p w14:paraId="304103B8" w14:textId="1B5368E3" w:rsidR="00481FA9" w:rsidRPr="00481FA9" w:rsidRDefault="001147C2" w:rsidP="001147C2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Nezabúdajte, prosím, 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že ak sa stavebné práce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správne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neriadia, môžu mať značný negatívny vplyv na miestne prostredie,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narušiť príjemné bývanie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 bezpečné fungovanie verejnej komunikácie. Na verejnej komunikácii nesmú parkovať žiadne vozidlá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vykonávajúce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stavebn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é činnosti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 mieste stavebných úprav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aby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nepredstavovali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prekážku. Každá takáto zámerná prekážka je priestupkom podľa čl.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137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zákona o komunikáciách z roku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1980.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Rada môže trestne stíhať staviteľov a ich objednávateľov, ak sa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stavebné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práce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nebudú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náležite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riadiť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Odporúčania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o tom, ako riadiť stavebné práce v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mestskej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 časti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Royal </w:t>
      </w:r>
      <w:proofErr w:type="spellStart"/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Borough</w:t>
      </w:r>
      <w:proofErr w:type="spellEnd"/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sa nachádzajú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na stránke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ady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v časti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A95DB0">
        <w:rPr>
          <w:rFonts w:ascii="Times New Roman" w:eastAsia="ArialMT" w:hAnsi="Times New Roman" w:cs="Times New Roman"/>
          <w:color w:val="0000FF"/>
          <w:sz w:val="24"/>
          <w:szCs w:val="24"/>
        </w:rPr>
        <w:t>Rady pre</w:t>
      </w:r>
      <w:r w:rsidR="00481FA9" w:rsidRPr="00481FA9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</w:t>
      </w:r>
      <w:r w:rsidR="00A95DB0">
        <w:rPr>
          <w:rFonts w:ascii="Times New Roman" w:eastAsia="ArialMT" w:hAnsi="Times New Roman" w:cs="Times New Roman"/>
          <w:color w:val="0000FF"/>
          <w:sz w:val="24"/>
          <w:szCs w:val="24"/>
        </w:rPr>
        <w:t>staviteľov</w:t>
      </w:r>
      <w:r w:rsidR="00E70C8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E70C84" w:rsidRPr="00E70C84">
        <w:rPr>
          <w:rFonts w:ascii="Times New Roman" w:eastAsia="ArialMT" w:hAnsi="Times New Roman" w:cs="Times New Roman"/>
          <w:color w:val="0000FF"/>
          <w:sz w:val="24"/>
          <w:szCs w:val="24"/>
        </w:rPr>
        <w:t>(</w:t>
      </w:r>
      <w:proofErr w:type="spellStart"/>
      <w:r w:rsidR="00E70C84" w:rsidRPr="00E70C84">
        <w:rPr>
          <w:rFonts w:ascii="Times New Roman" w:eastAsia="ArialMT" w:hAnsi="Times New Roman" w:cs="Times New Roman"/>
          <w:color w:val="0000FF"/>
          <w:sz w:val="24"/>
          <w:szCs w:val="24"/>
        </w:rPr>
        <w:t>Advice</w:t>
      </w:r>
      <w:proofErr w:type="spellEnd"/>
      <w:r w:rsidR="00E70C84" w:rsidRP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</w:t>
      </w:r>
      <w:proofErr w:type="spellStart"/>
      <w:r w:rsidR="00E70C84" w:rsidRPr="00E70C84">
        <w:rPr>
          <w:rFonts w:ascii="Times New Roman" w:eastAsia="ArialMT" w:hAnsi="Times New Roman" w:cs="Times New Roman"/>
          <w:color w:val="0000FF"/>
          <w:sz w:val="24"/>
          <w:szCs w:val="24"/>
        </w:rPr>
        <w:t>for</w:t>
      </w:r>
      <w:proofErr w:type="spellEnd"/>
      <w:r w:rsidR="00E70C84" w:rsidRP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</w:t>
      </w:r>
      <w:proofErr w:type="spellStart"/>
      <w:r w:rsidR="00E70C84" w:rsidRPr="00E70C84">
        <w:rPr>
          <w:rFonts w:ascii="Times New Roman" w:eastAsia="ArialMT" w:hAnsi="Times New Roman" w:cs="Times New Roman"/>
          <w:color w:val="0000FF"/>
          <w:sz w:val="24"/>
          <w:szCs w:val="24"/>
        </w:rPr>
        <w:t>Builders</w:t>
      </w:r>
      <w:proofErr w:type="spellEnd"/>
      <w:r w:rsidR="00E70C84" w:rsidRPr="00E70C84">
        <w:rPr>
          <w:rFonts w:ascii="Times New Roman" w:eastAsia="ArialMT" w:hAnsi="Times New Roman" w:cs="Times New Roman"/>
          <w:color w:val="0000FF"/>
          <w:sz w:val="24"/>
          <w:szCs w:val="24"/>
        </w:rPr>
        <w:t>).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Na tejto stránke nájdete tiež usmernenia o tom, čo je potrebné zahrnúť do plánov riadenia premávky počas výstavby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ak sa požadujú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)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, ktoré sú veľmi cennými nástrojmi pri obmedzovaní vplyvu rozsiahlych stavebných prác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 (I.40)</w:t>
      </w:r>
    </w:p>
    <w:p w14:paraId="49388448" w14:textId="77777777" w:rsidR="001147C2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</w:p>
    <w:p w14:paraId="1837A137" w14:textId="079BEA7D" w:rsidR="00481FA9" w:rsidRDefault="00A95DB0" w:rsidP="001147C2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Stavebné a demolačné práce riadi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ada podľa čl.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60</w:t>
      </w:r>
      <w:r w:rsidR="00BB5AE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61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zákona o 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regulácii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znečisťovania z roku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1974.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Rada prijala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ódex stavebných postupov, ktorý určuje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osvedčené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normy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očakávané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 tejto mestskej časti a platí pre nové stavebné projekty od apríla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2016.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Podľa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ustanovení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tohto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ódexu sa môžu hlučné práce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, ktoré je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poču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ť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 hranici staveniska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vykonávať iba v nasledovných časoch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14:paraId="29307367" w14:textId="77777777" w:rsidR="00BB5AE9" w:rsidRPr="00481FA9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42C807A4" w14:textId="037F8396" w:rsidR="00481FA9" w:rsidRPr="00481FA9" w:rsidRDefault="00A95DB0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pondelok až piatok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8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:00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–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1</w:t>
      </w:r>
      <w:r w:rsidR="00F878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:00</w:t>
      </w:r>
    </w:p>
    <w:p w14:paraId="0ED9F486" w14:textId="77777777" w:rsidR="00481FA9" w:rsidRPr="00481FA9" w:rsidRDefault="00A95DB0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sobota, nedeľa a sviatky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– n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epovolené</w:t>
      </w:r>
    </w:p>
    <w:p w14:paraId="5A867944" w14:textId="77777777" w:rsidR="00BB5AE9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73E71591" w14:textId="4DE7B5DF" w:rsidR="00481FA9" w:rsidRPr="00481FA9" w:rsidRDefault="002210BA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Kódex zavádza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aj ďalšie časové obmedzenia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pre výkon činností so značným vplyvom, ako napríklad demolácie a rozbíjanie betónu. Vykonávanie hlučných prác mimo hodín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 xml:space="preserve">povolených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ódexom môže byť dôvodom pre trestné stíhanie a pokutu až do výšky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5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000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584F0F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£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ak sa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podalo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oznámenie podľa zákona o 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regulácii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znečis</w:t>
      </w:r>
      <w:r w:rsidR="00F0466B">
        <w:rPr>
          <w:rFonts w:ascii="Times New Roman" w:eastAsia="ArialMT" w:hAnsi="Times New Roman" w:cs="Times New Roman"/>
          <w:color w:val="000000"/>
          <w:sz w:val="24"/>
          <w:szCs w:val="24"/>
        </w:rPr>
        <w:t>ťova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nia z roku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1974.</w:t>
      </w:r>
    </w:p>
    <w:p w14:paraId="03336326" w14:textId="77777777" w:rsidR="00584F0F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</w:p>
    <w:p w14:paraId="656F6BDD" w14:textId="69EB9106" w:rsidR="00481FA9" w:rsidRPr="00481FA9" w:rsidRDefault="002210BA" w:rsidP="00584F0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MT" w:hAnsi="Times New Roman" w:cs="Times New Roman"/>
          <w:color w:val="0000FF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Do pozornosti vám dávame č</w:t>
      </w:r>
      <w:r w:rsidR="00584F0F">
        <w:rPr>
          <w:rFonts w:ascii="Times New Roman" w:eastAsia="ArialMT" w:hAnsi="Times New Roman" w:cs="Times New Roman"/>
          <w:sz w:val="24"/>
          <w:szCs w:val="24"/>
        </w:rPr>
        <w:t>l</w:t>
      </w:r>
      <w:r>
        <w:rPr>
          <w:rFonts w:ascii="Times New Roman" w:eastAsia="ArialMT" w:hAnsi="Times New Roman" w:cs="Times New Roman"/>
          <w:sz w:val="24"/>
          <w:szCs w:val="24"/>
        </w:rPr>
        <w:t>.</w:t>
      </w:r>
      <w:r w:rsidR="00481FA9" w:rsidRPr="00BB5AE9">
        <w:rPr>
          <w:rFonts w:ascii="Times New Roman" w:eastAsia="ArialMT" w:hAnsi="Times New Roman" w:cs="Times New Roman"/>
          <w:sz w:val="24"/>
          <w:szCs w:val="24"/>
        </w:rPr>
        <w:t xml:space="preserve"> 61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zákona o </w:t>
      </w:r>
      <w:r w:rsidR="00F0466B">
        <w:rPr>
          <w:rFonts w:ascii="Times New Roman" w:eastAsia="ArialMT" w:hAnsi="Times New Roman" w:cs="Times New Roman"/>
          <w:color w:val="000000"/>
          <w:sz w:val="24"/>
          <w:szCs w:val="24"/>
        </w:rPr>
        <w:t>regulácii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znečis</w:t>
      </w:r>
      <w:r w:rsidR="00F0466B">
        <w:rPr>
          <w:rFonts w:ascii="Times New Roman" w:eastAsia="ArialMT" w:hAnsi="Times New Roman" w:cs="Times New Roman"/>
          <w:color w:val="000000"/>
          <w:sz w:val="24"/>
          <w:szCs w:val="24"/>
        </w:rPr>
        <w:t>ťova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nia z roku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481FA9" w:rsidRPr="00BB5AE9">
        <w:rPr>
          <w:rFonts w:ascii="Times New Roman" w:eastAsia="ArialMT" w:hAnsi="Times New Roman" w:cs="Times New Roman"/>
          <w:sz w:val="24"/>
          <w:szCs w:val="24"/>
        </w:rPr>
        <w:t xml:space="preserve">1974, </w:t>
      </w:r>
      <w:r>
        <w:rPr>
          <w:rFonts w:ascii="Times New Roman" w:eastAsia="ArialMT" w:hAnsi="Times New Roman" w:cs="Times New Roman"/>
          <w:sz w:val="24"/>
          <w:szCs w:val="24"/>
        </w:rPr>
        <w:t xml:space="preserve">ktorý umožňuje staviteľom a ich objednávateľom </w:t>
      </w:r>
      <w:r w:rsidR="00884897">
        <w:rPr>
          <w:rFonts w:ascii="Times New Roman" w:eastAsia="ArialMT" w:hAnsi="Times New Roman" w:cs="Times New Roman"/>
          <w:sz w:val="24"/>
          <w:szCs w:val="24"/>
        </w:rPr>
        <w:t>požiadať o „predchádzajúci súhlas“ pre</w:t>
      </w:r>
      <w:r w:rsidR="00F0466B">
        <w:rPr>
          <w:rFonts w:ascii="Times New Roman" w:eastAsia="ArialMT" w:hAnsi="Times New Roman" w:cs="Times New Roman"/>
          <w:sz w:val="24"/>
          <w:szCs w:val="24"/>
        </w:rPr>
        <w:t xml:space="preserve"> výkon hlučných</w:t>
      </w:r>
      <w:r w:rsidR="00884897">
        <w:rPr>
          <w:rFonts w:ascii="Times New Roman" w:eastAsia="ArialMT" w:hAnsi="Times New Roman" w:cs="Times New Roman"/>
          <w:sz w:val="24"/>
          <w:szCs w:val="24"/>
        </w:rPr>
        <w:t xml:space="preserve"> činnost</w:t>
      </w:r>
      <w:r w:rsidR="00F0466B">
        <w:rPr>
          <w:rFonts w:ascii="Times New Roman" w:eastAsia="ArialMT" w:hAnsi="Times New Roman" w:cs="Times New Roman"/>
          <w:sz w:val="24"/>
          <w:szCs w:val="24"/>
        </w:rPr>
        <w:t>í</w:t>
      </w:r>
      <w:r w:rsidR="00884897">
        <w:rPr>
          <w:rFonts w:ascii="Times New Roman" w:eastAsia="ArialMT" w:hAnsi="Times New Roman" w:cs="Times New Roman"/>
          <w:sz w:val="24"/>
          <w:szCs w:val="24"/>
        </w:rPr>
        <w:t xml:space="preserve"> počas stavebných prác</w:t>
      </w:r>
      <w:r w:rsidR="00481FA9" w:rsidRPr="00BB5AE9">
        <w:rPr>
          <w:rFonts w:ascii="Times New Roman" w:eastAsia="ArialMT" w:hAnsi="Times New Roman" w:cs="Times New Roman"/>
          <w:sz w:val="24"/>
          <w:szCs w:val="24"/>
        </w:rPr>
        <w:t>. T</w:t>
      </w:r>
      <w:r w:rsidR="00884897">
        <w:rPr>
          <w:rFonts w:ascii="Times New Roman" w:eastAsia="ArialMT" w:hAnsi="Times New Roman" w:cs="Times New Roman"/>
          <w:sz w:val="24"/>
          <w:szCs w:val="24"/>
        </w:rPr>
        <w:t xml:space="preserve">ento proaktívny prístup zahŕňa hodnotenie 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stavebných pracovných metód, ktoré sa majú použiť, a predpoklad pravdepodobných úrovní hlučnosti </w:t>
      </w:r>
      <w:r w:rsidR="00F0466B">
        <w:rPr>
          <w:rFonts w:ascii="Times New Roman" w:eastAsia="ArialMT" w:hAnsi="Times New Roman" w:cs="Times New Roman"/>
          <w:sz w:val="24"/>
          <w:szCs w:val="24"/>
        </w:rPr>
        <w:t>na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 citlivých </w:t>
      </w:r>
      <w:r w:rsidR="00F0466B">
        <w:rPr>
          <w:rFonts w:ascii="Times New Roman" w:eastAsia="ArialMT" w:hAnsi="Times New Roman" w:cs="Times New Roman"/>
          <w:sz w:val="24"/>
          <w:szCs w:val="24"/>
        </w:rPr>
        <w:t>miestach. C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ieľom </w:t>
      </w:r>
      <w:r w:rsidR="00F0466B">
        <w:rPr>
          <w:rFonts w:ascii="Times New Roman" w:eastAsia="ArialMT" w:hAnsi="Times New Roman" w:cs="Times New Roman"/>
          <w:sz w:val="24"/>
          <w:szCs w:val="24"/>
        </w:rPr>
        <w:t xml:space="preserve">je 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riadiť </w:t>
      </w:r>
      <w:r w:rsidR="00F0466B">
        <w:rPr>
          <w:rFonts w:ascii="Times New Roman" w:eastAsia="ArialMT" w:hAnsi="Times New Roman" w:cs="Times New Roman"/>
          <w:sz w:val="24"/>
          <w:szCs w:val="24"/>
        </w:rPr>
        <w:t>stavebný hluk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 použitím „najlepších možných prostriedkov“, ktoré sú k dispozícii. Odporúčame vám najať si poradcu </w:t>
      </w:r>
      <w:r w:rsidR="00F0466B">
        <w:rPr>
          <w:rFonts w:ascii="Times New Roman" w:eastAsia="ArialMT" w:hAnsi="Times New Roman" w:cs="Times New Roman"/>
          <w:sz w:val="24"/>
          <w:szCs w:val="24"/>
        </w:rPr>
        <w:t>pre akustiku, ktorý má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 skúsenos</w:t>
      </w:r>
      <w:r w:rsidR="00F0466B">
        <w:rPr>
          <w:rFonts w:ascii="Times New Roman" w:eastAsia="ArialMT" w:hAnsi="Times New Roman" w:cs="Times New Roman"/>
          <w:sz w:val="24"/>
          <w:szCs w:val="24"/>
        </w:rPr>
        <w:t xml:space="preserve">ti 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so stavebným hlukom a hodnotením </w:t>
      </w:r>
      <w:r w:rsidR="00F0466B">
        <w:rPr>
          <w:rFonts w:ascii="Times New Roman" w:eastAsia="ArialMT" w:hAnsi="Times New Roman" w:cs="Times New Roman"/>
          <w:sz w:val="24"/>
          <w:szCs w:val="24"/>
        </w:rPr>
        <w:t xml:space="preserve">a tvorbou prognóz </w:t>
      </w:r>
      <w:r w:rsidR="0078610B">
        <w:rPr>
          <w:rFonts w:ascii="Times New Roman" w:eastAsia="ArialMT" w:hAnsi="Times New Roman" w:cs="Times New Roman"/>
          <w:sz w:val="24"/>
          <w:szCs w:val="24"/>
        </w:rPr>
        <w:t>vibrácií</w:t>
      </w:r>
      <w:r w:rsidR="00F0466B">
        <w:rPr>
          <w:rFonts w:ascii="Times New Roman" w:eastAsia="ArialMT" w:hAnsi="Times New Roman" w:cs="Times New Roman"/>
          <w:sz w:val="24"/>
          <w:szCs w:val="24"/>
        </w:rPr>
        <w:t>, aby ste mohli vyplniť vašu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 žiados</w:t>
      </w:r>
      <w:r w:rsidR="00F0466B">
        <w:rPr>
          <w:rFonts w:ascii="Times New Roman" w:eastAsia="ArialMT" w:hAnsi="Times New Roman" w:cs="Times New Roman"/>
          <w:sz w:val="24"/>
          <w:szCs w:val="24"/>
        </w:rPr>
        <w:t>ť podľa čl</w:t>
      </w:r>
      <w:r w:rsidR="00481FA9" w:rsidRPr="00BB5AE9">
        <w:rPr>
          <w:rFonts w:ascii="Times New Roman" w:eastAsia="ArialMT" w:hAnsi="Times New Roman" w:cs="Times New Roman"/>
          <w:sz w:val="24"/>
          <w:szCs w:val="24"/>
        </w:rPr>
        <w:t>.61. Relevant</w:t>
      </w:r>
      <w:r w:rsidR="0078610B">
        <w:rPr>
          <w:rFonts w:ascii="Times New Roman" w:eastAsia="ArialMT" w:hAnsi="Times New Roman" w:cs="Times New Roman"/>
          <w:sz w:val="24"/>
          <w:szCs w:val="24"/>
        </w:rPr>
        <w:t>né</w:t>
      </w:r>
      <w:r w:rsidR="00481FA9" w:rsidRPr="00BB5AE9">
        <w:rPr>
          <w:rFonts w:ascii="Times New Roman" w:eastAsia="ArialMT" w:hAnsi="Times New Roman" w:cs="Times New Roman"/>
          <w:sz w:val="24"/>
          <w:szCs w:val="24"/>
        </w:rPr>
        <w:t xml:space="preserve"> inform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ácie sú k dispozícii </w:t>
      </w:r>
      <w:r w:rsidR="00964FD6">
        <w:rPr>
          <w:rFonts w:ascii="Times New Roman" w:eastAsia="ArialMT" w:hAnsi="Times New Roman" w:cs="Times New Roman"/>
          <w:sz w:val="24"/>
          <w:szCs w:val="24"/>
        </w:rPr>
        <w:t>na nasledujúcom odkaze:</w:t>
      </w:r>
      <w:r w:rsidR="00BB5AE9" w:rsidRPr="00BB5AE9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FB7717">
        <w:rPr>
          <w:rFonts w:ascii="Times New Roman" w:eastAsia="ArialMT" w:hAnsi="Times New Roman" w:cs="Times New Roman"/>
          <w:color w:val="0000FF"/>
          <w:sz w:val="24"/>
          <w:szCs w:val="24"/>
        </w:rPr>
        <w:t>čl</w:t>
      </w:r>
      <w:r w:rsidR="00481FA9" w:rsidRPr="00481FA9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.61 </w:t>
      </w:r>
      <w:r w:rsidR="00FB7717">
        <w:rPr>
          <w:rFonts w:ascii="Times New Roman" w:eastAsia="ArialMT" w:hAnsi="Times New Roman" w:cs="Times New Roman"/>
          <w:color w:val="0000FF"/>
          <w:sz w:val="24"/>
          <w:szCs w:val="24"/>
        </w:rPr>
        <w:t>z</w:t>
      </w:r>
      <w:r w:rsidR="00473491">
        <w:rPr>
          <w:rFonts w:ascii="Times New Roman" w:eastAsia="ArialMT" w:hAnsi="Times New Roman" w:cs="Times New Roman"/>
          <w:color w:val="0000FF"/>
          <w:sz w:val="24"/>
          <w:szCs w:val="24"/>
        </w:rPr>
        <w:t>ákon</w:t>
      </w:r>
      <w:r w:rsidR="00FB7717">
        <w:rPr>
          <w:rFonts w:ascii="Times New Roman" w:eastAsia="ArialMT" w:hAnsi="Times New Roman" w:cs="Times New Roman"/>
          <w:color w:val="0000FF"/>
          <w:sz w:val="24"/>
          <w:szCs w:val="24"/>
        </w:rPr>
        <w:t>a</w:t>
      </w:r>
      <w:r w:rsidR="00473491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o </w:t>
      </w:r>
      <w:r w:rsidR="00FB7717">
        <w:rPr>
          <w:rFonts w:ascii="Times New Roman" w:eastAsia="ArialMT" w:hAnsi="Times New Roman" w:cs="Times New Roman"/>
          <w:color w:val="0000FF"/>
          <w:sz w:val="24"/>
          <w:szCs w:val="24"/>
        </w:rPr>
        <w:t>regulácii</w:t>
      </w:r>
      <w:r w:rsidR="00473491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znečis</w:t>
      </w:r>
      <w:r w:rsidR="00FB7717">
        <w:rPr>
          <w:rFonts w:ascii="Times New Roman" w:eastAsia="ArialMT" w:hAnsi="Times New Roman" w:cs="Times New Roman"/>
          <w:color w:val="0000FF"/>
          <w:sz w:val="24"/>
          <w:szCs w:val="24"/>
        </w:rPr>
        <w:t>ťova</w:t>
      </w:r>
      <w:r w:rsidR="00473491">
        <w:rPr>
          <w:rFonts w:ascii="Times New Roman" w:eastAsia="ArialMT" w:hAnsi="Times New Roman" w:cs="Times New Roman"/>
          <w:color w:val="0000FF"/>
          <w:sz w:val="24"/>
          <w:szCs w:val="24"/>
        </w:rPr>
        <w:t>nia z roku</w:t>
      </w:r>
      <w:r w:rsidR="00481FA9" w:rsidRPr="00481FA9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1974</w:t>
      </w:r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(S.61 </w:t>
      </w:r>
      <w:proofErr w:type="spellStart"/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>Control</w:t>
      </w:r>
      <w:proofErr w:type="spellEnd"/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of </w:t>
      </w:r>
      <w:proofErr w:type="spellStart"/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>Pollution</w:t>
      </w:r>
      <w:proofErr w:type="spellEnd"/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</w:t>
      </w:r>
      <w:proofErr w:type="spellStart"/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>Act</w:t>
      </w:r>
      <w:proofErr w:type="spellEnd"/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1974).</w:t>
      </w:r>
    </w:p>
    <w:p w14:paraId="7E89ECED" w14:textId="77777777" w:rsidR="00BB5AE9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C5349AB" w14:textId="1DD4F2AA" w:rsidR="00481FA9" w:rsidRPr="00481FA9" w:rsidRDefault="00473491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Celá správa je k dispozícii pre verejnosť na stránke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ady na adrese </w:t>
      </w:r>
    </w:p>
    <w:p w14:paraId="723DEB7A" w14:textId="55559542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FF"/>
          <w:sz w:val="24"/>
          <w:szCs w:val="24"/>
        </w:rPr>
        <w:t>htt</w:t>
      </w:r>
      <w:r w:rsidR="00FB7717">
        <w:rPr>
          <w:rFonts w:ascii="Times New Roman" w:eastAsia="Arial-BoldMT" w:hAnsi="Times New Roman" w:cs="Times New Roman"/>
          <w:b/>
          <w:bCs/>
          <w:color w:val="0000FF"/>
          <w:sz w:val="24"/>
          <w:szCs w:val="24"/>
        </w:rPr>
        <w:t>p://www.rbkc.gov.uk/PP/17/07295</w:t>
      </w:r>
      <w:r w:rsidRPr="00481FA9">
        <w:rPr>
          <w:rFonts w:ascii="Times New Roman" w:eastAsia="Arial-BoldMT" w:hAnsi="Times New Roman" w:cs="Times New Roman"/>
          <w:b/>
          <w:bCs/>
          <w:color w:val="0000FF"/>
          <w:sz w:val="24"/>
          <w:szCs w:val="24"/>
        </w:rPr>
        <w:t xml:space="preserve">. </w:t>
      </w:r>
      <w:r w:rsidR="0047349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Ak nemáte prístup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na 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internet</w:t>
      </w:r>
      <w:r w:rsidR="00473491">
        <w:rPr>
          <w:rFonts w:ascii="Times New Roman" w:eastAsia="ArialMT" w:hAnsi="Times New Roman" w:cs="Times New Roman"/>
          <w:color w:val="000000"/>
          <w:sz w:val="24"/>
          <w:szCs w:val="24"/>
        </w:rPr>
        <w:t>, môžete si pozrieť žiadosť elektronicky na prízemí mestskej radnice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Hornton</w:t>
      </w:r>
      <w:proofErr w:type="spellEnd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Street</w:t>
      </w:r>
      <w:proofErr w:type="spellEnd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  <w:r w:rsidR="0047349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Londý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n, W8 7NX.</w:t>
      </w:r>
    </w:p>
    <w:p w14:paraId="4C7F96AA" w14:textId="77777777" w:rsidR="00FB7717" w:rsidRDefault="00FB7717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55C3CE99" w14:textId="77777777" w:rsidR="00481FA9" w:rsidRPr="00481FA9" w:rsidRDefault="00473491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S pozdravom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</w:p>
    <w:p w14:paraId="53D9B16D" w14:textId="77777777" w:rsidR="00FB7717" w:rsidRDefault="00FB7717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1788760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Graham </w:t>
      </w:r>
      <w:proofErr w:type="spellStart"/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Stallwood</w:t>
      </w:r>
      <w:proofErr w:type="spellEnd"/>
    </w:p>
    <w:p w14:paraId="67EE537A" w14:textId="77777777" w:rsidR="00481FA9" w:rsidRDefault="00473491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výkonný riaditeľ</w:t>
      </w:r>
      <w:r w:rsidR="00FB771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pre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plánovanie a rozvoj mestskej časti</w:t>
      </w:r>
    </w:p>
    <w:p w14:paraId="3D0554D9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094E765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B7DCA02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3BB9108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DB7C5BC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E29915D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BBA9559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00034D9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2F8478C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9DD69C1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E2EC4D2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3415D22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D9EBC6D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DAF8656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1C186A7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857A6CA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5A63900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4E56F84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0F415D6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EF68862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2DB090B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7F6C4FD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0EFD728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C1DEAAE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2C0E430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CFECA26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59DDCF0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AF5A440" w14:textId="77777777" w:rsidR="0067448D" w:rsidRDefault="0067448D" w:rsidP="00FB7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431A174" w14:textId="0E5EEEA3" w:rsidR="00481FA9" w:rsidRPr="00481FA9" w:rsidRDefault="00481FA9" w:rsidP="00FB7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lastRenderedPageBreak/>
        <w:t>INFORMA</w:t>
      </w:r>
      <w:r w:rsidR="00473491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ČNÝ HÁROK</w:t>
      </w:r>
    </w:p>
    <w:p w14:paraId="6F0BB6CE" w14:textId="77777777" w:rsidR="00FB7717" w:rsidRDefault="00FB7717" w:rsidP="0082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2F70EA9B" w14:textId="2ED1F107" w:rsidR="00481FA9" w:rsidRPr="00481FA9" w:rsidRDefault="00473491" w:rsidP="0082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Keď sa udelí povolenie alebo súhlas, neznamená to žiadne schválenie, súhlas, povolenie alebo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osvedčenie podľa žiadnych 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iných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zákonov, stanov, 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výnosov alebo nariadení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ako 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tých, ktoré 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sú uvedené v danom povolení alebo súhlase. Nič v danom povolení alebo súhlase 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sa nesmie chápať tak, že to 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>zbavuje povinnosti dodržiavať také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>to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iné zákony alebo stanovy atď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19E51A32" w14:textId="77777777" w:rsidR="007648D9" w:rsidRDefault="007648D9" w:rsidP="0082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52ABA7F" w14:textId="3D2E60B8" w:rsidR="00481FA9" w:rsidRPr="00481FA9" w:rsidRDefault="00826571" w:rsidP="0082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V súvislosti s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> územným rozhodnutím vá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m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dávame do pozornosti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najmä ustanovenia stavebného zákona z roku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1984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 stavebných nariadení z roku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2010 (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v znení neskorších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predpisov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</w:p>
    <w:p w14:paraId="534154CE" w14:textId="77777777" w:rsidR="007648D9" w:rsidRDefault="007648D9" w:rsidP="00E0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C5F454C" w14:textId="2B5DCB74" w:rsidR="00481FA9" w:rsidRPr="00481FA9" w:rsidRDefault="00826571" w:rsidP="00E0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Povolenie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ady nemení ani neovplyvňuje žiadne osobné ani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obmedzujúce dohovory, vecné práva atď., ktoré sa vzťahujú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resp. 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>ktoré majú vplyv na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pozemok alebo práva akýchkoľvek osôb oprávnených na výhody z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 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neho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vyplývajúce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3DF21BA6" w14:textId="77777777" w:rsidR="007648D9" w:rsidRDefault="007648D9" w:rsidP="0082657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C1B7B23" w14:textId="78D254D6" w:rsidR="00481FA9" w:rsidRPr="00481FA9" w:rsidRDefault="00506829" w:rsidP="00506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Upozorňujeme vás na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nasledujúce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práva žiadateľa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vyplývajúce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zo zamietnutia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územného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povolenia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alebo súhlasu týkajúceho sa chránenej budovy a z udelenia povolenia/súhlasu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na základe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stanovených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podmienok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14:paraId="154F9A4D" w14:textId="77777777" w:rsidR="007648D9" w:rsidRDefault="007648D9" w:rsidP="00F51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29DF325F" w14:textId="5C81C627" w:rsidR="00481FA9" w:rsidRPr="00481FA9" w:rsidRDefault="00481FA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Ak je žiadateľ poškodený rozhodnutím miestneho 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orgánu územného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plánovania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 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zamietn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utí územného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povolenia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, súhlas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u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týkajúceho sa chránenej bu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dovy alebo schválenia navrhnutých stavebných úprav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alebo 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o udelení povolenia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resp.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schváleni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/súhlas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u na základe stanovených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podmienok, môže 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podať odvolanie u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>štátneho tajomníka podľa čl.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78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>zákona o územnom plánovaní z roku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1990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, a to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do </w:t>
      </w:r>
      <w:r w:rsidR="00F5116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šiestich mesiacov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o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do dňa vydania tohto oznámenia. Odvolania sa musia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podať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prostredníctvom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>formulára, ktorý dostanete od štátneho tajomníka na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Temple</w:t>
      </w:r>
      <w:proofErr w:type="spellEnd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Quay</w:t>
      </w:r>
      <w:proofErr w:type="spellEnd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House</w:t>
      </w:r>
      <w:proofErr w:type="spellEnd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2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The</w:t>
      </w:r>
      <w:proofErr w:type="spellEnd"/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Square</w:t>
      </w:r>
      <w:proofErr w:type="spellEnd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Temple</w:t>
      </w:r>
      <w:proofErr w:type="spellEnd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Quay</w:t>
      </w:r>
      <w:proofErr w:type="spellEnd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Bristol</w:t>
      </w:r>
      <w:proofErr w:type="spellEnd"/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BS1 6PN (Tel: 0303 444 5000)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>alebo elektronicky na adrese</w:t>
      </w:r>
    </w:p>
    <w:p w14:paraId="729C3B67" w14:textId="77777777" w:rsidR="00481FA9" w:rsidRPr="00481FA9" w:rsidRDefault="00481FA9" w:rsidP="00506829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FF"/>
          <w:sz w:val="24"/>
          <w:szCs w:val="24"/>
        </w:rPr>
        <w:t>www.planningportal.gov.uk/pcs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6E9FD6E6" w14:textId="77777777" w:rsidR="007648D9" w:rsidRDefault="007648D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50438C2" w14:textId="333F2173" w:rsidR="00481FA9" w:rsidRPr="00481FA9" w:rsidRDefault="00481FA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>Ak miestny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orgán územného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plánova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nia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alebo štátny tajomník zamietne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povol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enie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vykonať stavebné úpravy na pozemku alebo súhlas týkajúci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sa chránenej budovy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alebo tieto udelí na základe stanovených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podmienok a vlastník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daného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pozemku bude tvrdiť, že pozemok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>nie je možné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jeho súčasnom stave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prospešne využívať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 nebude môcť byť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prospešn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e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využívaný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ani po vykonaní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akýchkoľvek stavebných úprav, ktoré boli alebo by boli povolené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, môže zaslať príslušnému miestnemu úradu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oznámenie o kúpe,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ktorým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bude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adu žiadať o kúpu jeho podielu na pozemku podľa ustanovení časti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VI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zákona o územnom plánovaní z roku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1990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alebo časti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kapitoly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III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zákona o plánovaní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chránené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budov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y a oblasti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z roku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1990.</w:t>
      </w:r>
    </w:p>
    <w:p w14:paraId="0E02200E" w14:textId="77777777" w:rsidR="007648D9" w:rsidRDefault="007648D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29467B2" w14:textId="77777777" w:rsidR="00481FA9" w:rsidRPr="00481FA9" w:rsidRDefault="00481FA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Za istých okolností </w:t>
      </w:r>
      <w:r w:rsidR="007A2A74">
        <w:rPr>
          <w:rFonts w:ascii="Times New Roman" w:eastAsia="ArialMT" w:hAnsi="Times New Roman" w:cs="Times New Roman"/>
          <w:color w:val="000000"/>
          <w:sz w:val="24"/>
          <w:szCs w:val="24"/>
        </w:rPr>
        <w:t>sa môže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voči miestnemu orgánu územného plánovania podať žiadosť o odškodnenie</w:t>
      </w:r>
      <w:r w:rsidR="007A2A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Okolnosti, za ktorých je takéto odškodnenie splatné, sú uvedené v článku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114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>zákona o územnom plánovaní z roku</w:t>
      </w:r>
      <w:r w:rsidR="007648D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1990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alebo čl. 2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7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zákona o plánovaní </w:t>
      </w:r>
      <w:r w:rsidR="007648D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chránené budovy a oblasti</w:t>
      </w:r>
      <w:r w:rsidR="007648D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>z roku</w:t>
      </w:r>
      <w:r w:rsidR="007648D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1990.</w:t>
      </w:r>
    </w:p>
    <w:p w14:paraId="125ACA65" w14:textId="77777777" w:rsidR="007648D9" w:rsidRDefault="007648D9" w:rsidP="007648D9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4013370C" w14:textId="18DD48DF" w:rsidR="00481FA9" w:rsidRPr="00481FA9" w:rsidRDefault="00481FA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Štátny tajomník môže povoliť dlhšie obdobie na podanie odvolania, no za bežných okolností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>ne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>bude pripravený uplatniť toto právo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>iba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ak existujú špeciálne okolnosti, ktoré ospravedlňujú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neskoršie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podanie odvolania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3C33943D" w14:textId="77777777" w:rsidR="007648D9" w:rsidRDefault="007648D9" w:rsidP="007648D9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21CAA993" w14:textId="7C415253" w:rsidR="007D1999" w:rsidRDefault="00481FA9" w:rsidP="009F470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Štátny tajomník nemusí zvážiť odvolanie, ak sa mu bude zdať, že miestny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orgán územného plánovania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nemohol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schváliť územné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povolenie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ohľadne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navrhovaných stavebných úprav alebo ho nemohol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schváliť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bez podmienok, ktoré stanovil, a to s ohľadom na zákonné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požiadavky, usta</w:t>
      </w:r>
      <w:r w:rsidR="00F8439E">
        <w:rPr>
          <w:rFonts w:ascii="Times New Roman" w:eastAsia="ArialMT" w:hAnsi="Times New Roman" w:cs="Times New Roman"/>
          <w:color w:val="000000"/>
          <w:sz w:val="24"/>
          <w:szCs w:val="24"/>
        </w:rPr>
        <w:t>novenia akéhokoľvek výnosu o rozv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>oji a akékoľvek</w:t>
      </w:r>
      <w:r w:rsidR="00F8439E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pokyny dané na základe výnosu o roz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>voji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76D835D4" w14:textId="77777777" w:rsidR="00146545" w:rsidRPr="00481FA9" w:rsidRDefault="00146545" w:rsidP="00826571">
      <w:pPr>
        <w:rPr>
          <w:rFonts w:ascii="Times New Roman" w:hAnsi="Times New Roman" w:cs="Times New Roman"/>
          <w:sz w:val="24"/>
          <w:szCs w:val="24"/>
        </w:rPr>
      </w:pPr>
    </w:p>
    <w:sectPr w:rsidR="00146545" w:rsidRPr="00481F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84E393" w16cid:durableId="207289D4"/>
  <w16cid:commentId w16cid:paraId="1A1B4E47" w16cid:durableId="20728B0D"/>
  <w16cid:commentId w16cid:paraId="2496C566" w16cid:durableId="20728C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8C040" w14:textId="77777777" w:rsidR="002958D1" w:rsidRDefault="002958D1" w:rsidP="00E70C84">
      <w:pPr>
        <w:spacing w:after="0" w:line="240" w:lineRule="auto"/>
      </w:pPr>
      <w:r>
        <w:separator/>
      </w:r>
    </w:p>
  </w:endnote>
  <w:endnote w:type="continuationSeparator" w:id="0">
    <w:p w14:paraId="56770394" w14:textId="77777777" w:rsidR="002958D1" w:rsidRDefault="002958D1" w:rsidP="00E70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59BE2" w14:textId="77777777" w:rsidR="00E70C84" w:rsidRDefault="00E70C8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B0016" w14:textId="77777777" w:rsidR="00E70C84" w:rsidRDefault="00E70C8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28FC5" w14:textId="77777777" w:rsidR="00E70C84" w:rsidRDefault="00E70C8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0B852" w14:textId="77777777" w:rsidR="002958D1" w:rsidRDefault="002958D1" w:rsidP="00E70C84">
      <w:pPr>
        <w:spacing w:after="0" w:line="240" w:lineRule="auto"/>
      </w:pPr>
      <w:r>
        <w:separator/>
      </w:r>
    </w:p>
  </w:footnote>
  <w:footnote w:type="continuationSeparator" w:id="0">
    <w:p w14:paraId="6930E6FE" w14:textId="77777777" w:rsidR="002958D1" w:rsidRDefault="002958D1" w:rsidP="00E70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68D69" w14:textId="77777777" w:rsidR="00E70C84" w:rsidRDefault="00E70C8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3E6C1" w14:textId="77777777" w:rsidR="00E70C84" w:rsidRDefault="00E70C8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38D58" w14:textId="77777777" w:rsidR="00E70C84" w:rsidRDefault="00E70C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D0A15"/>
    <w:multiLevelType w:val="hybridMultilevel"/>
    <w:tmpl w:val="B0042A3E"/>
    <w:lvl w:ilvl="0" w:tplc="D1A2B0A8">
      <w:start w:val="1"/>
      <w:numFmt w:val="decimal"/>
      <w:lvlText w:val="%1."/>
      <w:lvlJc w:val="left"/>
      <w:pPr>
        <w:ind w:left="720" w:hanging="360"/>
      </w:pPr>
      <w:rPr>
        <w:rFonts w:eastAsia="Arial-BoldMT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A9"/>
    <w:rsid w:val="00012EC7"/>
    <w:rsid w:val="00095FF5"/>
    <w:rsid w:val="000B298F"/>
    <w:rsid w:val="00110ACB"/>
    <w:rsid w:val="001139EB"/>
    <w:rsid w:val="001147C2"/>
    <w:rsid w:val="00146545"/>
    <w:rsid w:val="002210BA"/>
    <w:rsid w:val="00260073"/>
    <w:rsid w:val="002958D1"/>
    <w:rsid w:val="003D621B"/>
    <w:rsid w:val="003E66AA"/>
    <w:rsid w:val="00473491"/>
    <w:rsid w:val="00481FA9"/>
    <w:rsid w:val="004B3C7D"/>
    <w:rsid w:val="004B56BE"/>
    <w:rsid w:val="00506829"/>
    <w:rsid w:val="00584F0F"/>
    <w:rsid w:val="00610832"/>
    <w:rsid w:val="0067448D"/>
    <w:rsid w:val="006931D0"/>
    <w:rsid w:val="006F6C86"/>
    <w:rsid w:val="007648D9"/>
    <w:rsid w:val="007658D0"/>
    <w:rsid w:val="0078610B"/>
    <w:rsid w:val="007A2A74"/>
    <w:rsid w:val="007D1999"/>
    <w:rsid w:val="00826571"/>
    <w:rsid w:val="00870600"/>
    <w:rsid w:val="00884897"/>
    <w:rsid w:val="00951350"/>
    <w:rsid w:val="00964FD6"/>
    <w:rsid w:val="00995CBD"/>
    <w:rsid w:val="009E7EF0"/>
    <w:rsid w:val="009F4702"/>
    <w:rsid w:val="00A95DB0"/>
    <w:rsid w:val="00B03AD9"/>
    <w:rsid w:val="00B328FA"/>
    <w:rsid w:val="00B361FD"/>
    <w:rsid w:val="00B65F38"/>
    <w:rsid w:val="00BB5AE9"/>
    <w:rsid w:val="00BF6F8C"/>
    <w:rsid w:val="00C115CB"/>
    <w:rsid w:val="00E03872"/>
    <w:rsid w:val="00E05174"/>
    <w:rsid w:val="00E70C84"/>
    <w:rsid w:val="00ED2A77"/>
    <w:rsid w:val="00F0466B"/>
    <w:rsid w:val="00F07843"/>
    <w:rsid w:val="00F223D3"/>
    <w:rsid w:val="00F51167"/>
    <w:rsid w:val="00F55CCC"/>
    <w:rsid w:val="00F730D1"/>
    <w:rsid w:val="00F8439E"/>
    <w:rsid w:val="00F87877"/>
    <w:rsid w:val="00FB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86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0AC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878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878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878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78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787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7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7877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E70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0C84"/>
  </w:style>
  <w:style w:type="paragraph" w:styleId="Pta">
    <w:name w:val="footer"/>
    <w:basedOn w:val="Normlny"/>
    <w:link w:val="PtaChar"/>
    <w:uiPriority w:val="99"/>
    <w:unhideWhenUsed/>
    <w:rsid w:val="00E70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0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2019-05-22T13:12:00Z</dcterms:created>
  <dcterms:modified xsi:type="dcterms:W3CDTF">2020-01-22T11:02:00Z</dcterms:modified>
</cp:coreProperties>
</file>