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D5415E" w:rsidRDefault="009C64DA" w:rsidP="00D5415E">
      <w:pPr>
        <w:pStyle w:val="Default"/>
        <w:jc w:val="center"/>
        <w:rPr>
          <w:rFonts w:asciiTheme="majorHAnsi" w:hAnsiTheme="majorHAnsi"/>
          <w:sz w:val="22"/>
          <w:szCs w:val="22"/>
        </w:rPr>
      </w:pPr>
      <w:r>
        <w:rPr>
          <w:rFonts w:asciiTheme="majorHAnsi" w:hAnsiTheme="majorHAnsi"/>
          <w:b/>
          <w:bCs/>
          <w:sz w:val="22"/>
          <w:szCs w:val="22"/>
        </w:rPr>
        <w:t>Návrh k</w:t>
      </w:r>
      <w:r w:rsidR="00667C45">
        <w:rPr>
          <w:rFonts w:asciiTheme="majorHAnsi" w:hAnsiTheme="majorHAnsi"/>
          <w:b/>
          <w:bCs/>
          <w:sz w:val="22"/>
          <w:szCs w:val="22"/>
        </w:rPr>
        <w:t>úpn</w:t>
      </w:r>
      <w:r>
        <w:rPr>
          <w:rFonts w:asciiTheme="majorHAnsi" w:hAnsiTheme="majorHAnsi"/>
          <w:b/>
          <w:bCs/>
          <w:sz w:val="22"/>
          <w:szCs w:val="22"/>
        </w:rPr>
        <w:t>ej</w:t>
      </w:r>
      <w:r w:rsidR="00667C45">
        <w:rPr>
          <w:rFonts w:asciiTheme="majorHAnsi" w:hAnsiTheme="majorHAnsi"/>
          <w:b/>
          <w:bCs/>
          <w:sz w:val="22"/>
          <w:szCs w:val="22"/>
        </w:rPr>
        <w:t xml:space="preserve"> zmluv</w:t>
      </w:r>
      <w:r>
        <w:rPr>
          <w:rFonts w:asciiTheme="majorHAnsi" w:hAnsiTheme="majorHAnsi"/>
          <w:b/>
          <w:bCs/>
          <w:sz w:val="22"/>
          <w:szCs w:val="22"/>
        </w:rPr>
        <w:t>y</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6F542AA6" w14:textId="77777777" w:rsidR="00CA3D9F" w:rsidRDefault="00CA3D9F" w:rsidP="00CA3D9F">
      <w:pPr>
        <w:pStyle w:val="Default"/>
        <w:jc w:val="center"/>
        <w:rPr>
          <w:rFonts w:asciiTheme="majorHAnsi" w:hAnsiTheme="majorHAnsi"/>
          <w:b/>
          <w:bCs/>
          <w:sz w:val="22"/>
          <w:szCs w:val="22"/>
        </w:rPr>
      </w:pPr>
    </w:p>
    <w:p w14:paraId="182F45CE" w14:textId="77777777" w:rsidR="00CA3D9F" w:rsidRDefault="00CA3D9F" w:rsidP="00CA3D9F">
      <w:pPr>
        <w:pStyle w:val="Default"/>
        <w:jc w:val="center"/>
        <w:rPr>
          <w:rFonts w:asciiTheme="majorHAnsi" w:hAnsiTheme="majorHAnsi"/>
          <w:b/>
          <w:bCs/>
          <w:sz w:val="22"/>
          <w:szCs w:val="22"/>
        </w:rPr>
      </w:pPr>
    </w:p>
    <w:p w14:paraId="7A141D24" w14:textId="5961CE2C" w:rsidR="00CA3D9F" w:rsidRPr="00CA3D9F" w:rsidRDefault="00CA3D9F" w:rsidP="00CA3D9F">
      <w:pPr>
        <w:pStyle w:val="Default"/>
        <w:jc w:val="center"/>
        <w:rPr>
          <w:rFonts w:asciiTheme="majorHAnsi" w:hAnsiTheme="majorHAnsi"/>
          <w:b/>
          <w:bCs/>
          <w:sz w:val="28"/>
          <w:szCs w:val="28"/>
        </w:rPr>
      </w:pPr>
      <w:r w:rsidRPr="00CA3D9F">
        <w:rPr>
          <w:rFonts w:asciiTheme="majorHAnsi" w:hAnsiTheme="majorHAnsi"/>
          <w:b/>
          <w:bCs/>
          <w:sz w:val="28"/>
          <w:szCs w:val="28"/>
        </w:rPr>
        <w:t>ZADNÝ RADLICOVÝ APLIKÁTOR</w:t>
      </w:r>
    </w:p>
    <w:p w14:paraId="0F5F62E6" w14:textId="77777777" w:rsidR="00CA3D9F" w:rsidRDefault="00CA3D9F" w:rsidP="00CA3D9F">
      <w:pPr>
        <w:pStyle w:val="Default"/>
        <w:jc w:val="center"/>
        <w:rPr>
          <w:rFonts w:asciiTheme="majorHAnsi" w:hAnsiTheme="majorHAnsi"/>
          <w:b/>
          <w:bCs/>
          <w:sz w:val="22"/>
          <w:szCs w:val="22"/>
        </w:rPr>
      </w:pPr>
    </w:p>
    <w:p w14:paraId="0200B198" w14:textId="5F8CC744" w:rsidR="00CA3D9F" w:rsidRDefault="00CA3D9F" w:rsidP="00D5415E">
      <w:pPr>
        <w:pStyle w:val="Default"/>
        <w:rPr>
          <w:rFonts w:asciiTheme="majorHAnsi" w:hAnsiTheme="majorHAnsi"/>
          <w:b/>
          <w:bCs/>
          <w:sz w:val="22"/>
          <w:szCs w:val="22"/>
        </w:rPr>
      </w:pPr>
    </w:p>
    <w:p w14:paraId="70598CA2" w14:textId="0AF52835"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395C72CC"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AB243D" w:rsidRPr="00AB243D">
        <w:rPr>
          <w:rFonts w:asciiTheme="majorHAnsi" w:hAnsiTheme="majorHAnsi"/>
        </w:rPr>
        <w:t>Poľnohospodárske výrobno-obchodné družstvo Mokrance</w:t>
      </w:r>
    </w:p>
    <w:p w14:paraId="5943BA04" w14:textId="5D0C4916"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Mokrance 494, 4501 Mokrance</w:t>
      </w:r>
    </w:p>
    <w:p w14:paraId="16441002" w14:textId="7CD50896" w:rsid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AB243D" w:rsidRPr="00AB243D">
        <w:rPr>
          <w:rFonts w:asciiTheme="majorHAnsi" w:hAnsiTheme="majorHAnsi"/>
        </w:rPr>
        <w:t>Ing. Alexander Korcsmáros</w:t>
      </w:r>
      <w:r w:rsidR="00AA7984">
        <w:rPr>
          <w:rFonts w:asciiTheme="majorHAnsi" w:hAnsiTheme="majorHAnsi"/>
        </w:rPr>
        <w:t xml:space="preserve"> – predseda predstavenstva</w:t>
      </w:r>
    </w:p>
    <w:p w14:paraId="7F1E03B7" w14:textId="1282CCF0" w:rsidR="00AA7984" w:rsidRPr="00E42B90" w:rsidRDefault="00AA7984" w:rsidP="00034B52">
      <w:pPr>
        <w:tabs>
          <w:tab w:val="left" w:pos="2835"/>
        </w:tabs>
        <w:jc w:val="left"/>
        <w:rPr>
          <w:rFonts w:asciiTheme="majorHAnsi" w:hAnsiTheme="majorHAnsi"/>
        </w:rPr>
      </w:pPr>
      <w:r>
        <w:rPr>
          <w:rFonts w:asciiTheme="majorHAnsi" w:hAnsiTheme="majorHAnsi"/>
        </w:rPr>
        <w:tab/>
      </w:r>
      <w:r>
        <w:rPr>
          <w:rFonts w:asciiTheme="majorHAnsi" w:hAnsiTheme="majorHAnsi"/>
        </w:rPr>
        <w:tab/>
        <w:t>Veronika Bérešová – člen predstavenstva</w:t>
      </w:r>
    </w:p>
    <w:p w14:paraId="4C26ED6D" w14:textId="5ECE979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31668372</w:t>
      </w:r>
    </w:p>
    <w:p w14:paraId="0C6F3A21" w14:textId="2C318F0A"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2020494971</w:t>
      </w:r>
    </w:p>
    <w:p w14:paraId="2215BB10" w14:textId="12E8A28F"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SK2020494971</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C9D78BA" w:rsidR="00E42B90" w:rsidRP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+421 905 513 659</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6BA657EA"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CF1A19">
        <w:rPr>
          <w:rFonts w:asciiTheme="majorHAnsi" w:hAnsiTheme="majorHAnsi"/>
        </w:rPr>
        <w:t xml:space="preserve">zákazky </w:t>
      </w:r>
      <w:r w:rsidR="00AA7984" w:rsidRPr="00CA3D9F">
        <w:rPr>
          <w:rFonts w:asciiTheme="majorHAnsi" w:hAnsiTheme="majorHAnsi"/>
          <w:b/>
          <w:bCs/>
        </w:rPr>
        <w:t>Investície do hmotného majetku pre znižovanie emisií skleníkových plynov a zlepšenie životných podmienok ustajnených zvierat – ZADNÝ RADLICOVÝ APLIKÁTOR</w:t>
      </w:r>
      <w:r w:rsidR="00AA7984">
        <w:rPr>
          <w:b/>
          <w:bCs/>
          <w:sz w:val="21"/>
        </w:rPr>
        <w:t xml:space="preserve"> </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5D4A1A4" w14:textId="77777777" w:rsidR="00AA7984" w:rsidRDefault="00D5415E" w:rsidP="00AA7984">
      <w:pPr>
        <w:pStyle w:val="Default"/>
        <w:jc w:val="both"/>
        <w:rPr>
          <w:rFonts w:asciiTheme="majorHAnsi" w:hAnsiTheme="majorHAnsi"/>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dodanie</w:t>
      </w:r>
      <w:r w:rsidR="00AB243D" w:rsidRPr="00AB243D">
        <w:rPr>
          <w:rFonts w:asciiTheme="majorHAnsi" w:hAnsiTheme="majorHAnsi"/>
          <w:color w:val="auto"/>
          <w:sz w:val="22"/>
          <w:szCs w:val="22"/>
        </w:rPr>
        <w:t xml:space="preserve"> </w:t>
      </w:r>
      <w:r w:rsidR="00AA7984">
        <w:rPr>
          <w:b/>
          <w:bCs/>
          <w:sz w:val="21"/>
        </w:rPr>
        <w:t xml:space="preserve">ZADNÉHO RADLICOVÉHO APLIKÁTORA </w:t>
      </w:r>
      <w:r w:rsidR="00AA7984" w:rsidRPr="00AB243D">
        <w:rPr>
          <w:rFonts w:asciiTheme="majorHAnsi" w:hAnsiTheme="majorHAnsi"/>
        </w:rPr>
        <w:t xml:space="preserve"> </w:t>
      </w:r>
    </w:p>
    <w:p w14:paraId="2AF32E31" w14:textId="55F8D372" w:rsidR="009B3763" w:rsidRPr="00801690" w:rsidRDefault="00A24F4F" w:rsidP="00AA7984">
      <w:pPr>
        <w:pStyle w:val="Default"/>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Pr="00801690">
        <w:rPr>
          <w:rFonts w:asciiTheme="majorHAnsi" w:hAnsiTheme="majorHAnsi"/>
        </w:rPr>
        <w:t xml:space="preserve">Požadované technické parametre sú uvedené v prílohe č. 1 k tejto Zmluve. </w:t>
      </w:r>
    </w:p>
    <w:p w14:paraId="4E3FD8BB" w14:textId="77777777" w:rsidR="009B3763" w:rsidRPr="00801690" w:rsidRDefault="009B3763" w:rsidP="009B3763">
      <w:pPr>
        <w:tabs>
          <w:tab w:val="left" w:pos="567"/>
        </w:tabs>
        <w:jc w:val="left"/>
        <w:rPr>
          <w:rFonts w:asciiTheme="majorHAnsi" w:hAnsiTheme="majorHAnsi"/>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1B7700DB" w:rsidR="00264BA8" w:rsidRPr="00CF1A19" w:rsidRDefault="00D5415E" w:rsidP="00CF1A19">
      <w:pPr>
        <w:pStyle w:val="Default"/>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AA7984">
        <w:rPr>
          <w:b/>
          <w:bCs/>
          <w:sz w:val="21"/>
        </w:rPr>
        <w:t xml:space="preserve">ZADNÉHO RADLICOVÉHO APLIKÁTORA </w:t>
      </w:r>
      <w:r w:rsidR="00AA7984" w:rsidRPr="00AB243D">
        <w:rPr>
          <w:rFonts w:asciiTheme="majorHAnsi" w:hAnsiTheme="majorHAnsi"/>
        </w:rPr>
        <w:t xml:space="preserve"> </w:t>
      </w:r>
    </w:p>
    <w:p w14:paraId="4610318F" w14:textId="77777777" w:rsidR="00264BA8" w:rsidRPr="00D5415E" w:rsidRDefault="00264BA8" w:rsidP="00D5415E">
      <w:pPr>
        <w:tabs>
          <w:tab w:val="left" w:pos="567"/>
        </w:tabs>
        <w:jc w:val="both"/>
        <w:rPr>
          <w:rFonts w:asciiTheme="majorHAnsi" w:hAnsiTheme="majorHAnsi"/>
        </w:rPr>
      </w:pPr>
    </w:p>
    <w:p w14:paraId="764A2319" w14:textId="304F660A"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4256E1" w:rsidRPr="004256E1">
        <w:rPr>
          <w:rFonts w:asciiTheme="majorHAnsi" w:hAnsiTheme="majorHAnsi"/>
        </w:rPr>
        <w:t xml:space="preserve">dodanie </w:t>
      </w:r>
      <w:r w:rsidR="00AA7984" w:rsidRPr="00AA7984">
        <w:rPr>
          <w:rFonts w:asciiTheme="majorHAnsi" w:hAnsiTheme="majorHAnsi"/>
          <w:b/>
          <w:bCs/>
        </w:rPr>
        <w:t>ZADNÉHO RADLICOVÉHO APLIKÁTORA</w:t>
      </w:r>
      <w:r w:rsidR="00157A04">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47B9A0C"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3FCFACD4"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517DD45"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801690" w:rsidRPr="00801690">
        <w:rPr>
          <w:rFonts w:asciiTheme="majorHAnsi" w:hAnsiTheme="majorHAnsi"/>
          <w:color w:val="auto"/>
          <w:sz w:val="22"/>
          <w:szCs w:val="22"/>
        </w:rPr>
        <w:t>od doručenia písomnej objednávky</w:t>
      </w:r>
    </w:p>
    <w:p w14:paraId="749386F6" w14:textId="34170253"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801690" w:rsidRPr="00801690">
        <w:rPr>
          <w:rFonts w:asciiTheme="majorHAnsi" w:hAnsiTheme="majorHAnsi"/>
          <w:color w:val="auto"/>
          <w:sz w:val="22"/>
          <w:szCs w:val="22"/>
        </w:rPr>
        <w:t xml:space="preserve">najneskôr </w:t>
      </w:r>
      <w:r w:rsidR="00801690" w:rsidRPr="00AB22D5">
        <w:rPr>
          <w:rFonts w:asciiTheme="majorHAnsi" w:hAnsiTheme="majorHAnsi"/>
          <w:b/>
          <w:bCs/>
          <w:color w:val="auto"/>
          <w:sz w:val="22"/>
          <w:szCs w:val="22"/>
        </w:rPr>
        <w:t xml:space="preserve">do </w:t>
      </w:r>
      <w:r w:rsidR="00AA7984">
        <w:rPr>
          <w:rFonts w:asciiTheme="majorHAnsi" w:hAnsiTheme="majorHAnsi"/>
          <w:b/>
          <w:bCs/>
          <w:color w:val="auto"/>
          <w:sz w:val="22"/>
          <w:szCs w:val="22"/>
        </w:rPr>
        <w:t>30</w:t>
      </w:r>
      <w:r w:rsidR="00801690" w:rsidRPr="00AB22D5">
        <w:rPr>
          <w:rFonts w:asciiTheme="majorHAnsi" w:hAnsiTheme="majorHAnsi"/>
          <w:b/>
          <w:bCs/>
          <w:color w:val="auto"/>
          <w:sz w:val="22"/>
          <w:szCs w:val="22"/>
        </w:rPr>
        <w:t>.</w:t>
      </w:r>
      <w:r w:rsidR="00AA7984">
        <w:rPr>
          <w:rFonts w:asciiTheme="majorHAnsi" w:hAnsiTheme="majorHAnsi"/>
          <w:b/>
          <w:bCs/>
          <w:color w:val="auto"/>
          <w:sz w:val="22"/>
          <w:szCs w:val="22"/>
        </w:rPr>
        <w:t>0</w:t>
      </w:r>
      <w:r w:rsidR="00157A04">
        <w:rPr>
          <w:rFonts w:asciiTheme="majorHAnsi" w:hAnsiTheme="majorHAnsi"/>
          <w:b/>
          <w:bCs/>
          <w:color w:val="auto"/>
          <w:sz w:val="22"/>
          <w:szCs w:val="22"/>
        </w:rPr>
        <w:t>6</w:t>
      </w:r>
      <w:r w:rsidR="00801690" w:rsidRPr="00AB22D5">
        <w:rPr>
          <w:rFonts w:asciiTheme="majorHAnsi" w:hAnsiTheme="majorHAnsi"/>
          <w:b/>
          <w:bCs/>
          <w:color w:val="auto"/>
          <w:sz w:val="22"/>
          <w:szCs w:val="22"/>
        </w:rPr>
        <w:t>.202</w:t>
      </w:r>
      <w:r w:rsidR="00AA7984">
        <w:rPr>
          <w:rFonts w:asciiTheme="majorHAnsi" w:hAnsiTheme="majorHAnsi"/>
          <w:b/>
          <w:bCs/>
          <w:color w:val="auto"/>
          <w:sz w:val="22"/>
          <w:szCs w:val="22"/>
        </w:rPr>
        <w:t>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lastRenderedPageBreak/>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16F647FF"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3B05CD67" w14:textId="77777777" w:rsidR="00AB243D" w:rsidRDefault="00AB243D" w:rsidP="003F269A">
      <w:pPr>
        <w:pStyle w:val="Default"/>
        <w:jc w:val="both"/>
        <w:rPr>
          <w:rFonts w:asciiTheme="majorHAnsi" w:hAnsiTheme="majorHAnsi"/>
          <w:color w:val="auto"/>
          <w:sz w:val="22"/>
          <w:szCs w:val="22"/>
        </w:rPr>
      </w:pPr>
    </w:p>
    <w:p w14:paraId="52DB915D" w14:textId="0B821205" w:rsidR="00AB243D" w:rsidRDefault="00AA7984" w:rsidP="003F269A">
      <w:pPr>
        <w:pStyle w:val="Default"/>
        <w:jc w:val="both"/>
        <w:rPr>
          <w:rFonts w:asciiTheme="majorHAnsi" w:hAnsiTheme="majorHAnsi"/>
        </w:rPr>
      </w:pPr>
      <w:r>
        <w:rPr>
          <w:b/>
          <w:bCs/>
          <w:sz w:val="21"/>
        </w:rPr>
        <w:t>ZADNÝ RADLICOVÝ APLIKÁTOR</w:t>
      </w:r>
      <w:r w:rsidRPr="00AB243D">
        <w:rPr>
          <w:rFonts w:asciiTheme="majorHAnsi" w:hAnsiTheme="majorHAnsi"/>
        </w:rPr>
        <w:t xml:space="preserve"> </w:t>
      </w:r>
    </w:p>
    <w:p w14:paraId="6EEC7B98" w14:textId="77777777" w:rsidR="00AA7984" w:rsidRDefault="00AA7984" w:rsidP="003F269A">
      <w:pPr>
        <w:pStyle w:val="Default"/>
        <w:jc w:val="both"/>
        <w:rPr>
          <w:rFonts w:asciiTheme="majorHAnsi" w:hAnsiTheme="majorHAnsi"/>
          <w:i/>
          <w:iCs/>
          <w:color w:val="auto"/>
          <w:sz w:val="22"/>
          <w:szCs w:val="22"/>
        </w:rPr>
      </w:pPr>
    </w:p>
    <w:p w14:paraId="45A1A394" w14:textId="014E61D2"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sidR="003F269A">
        <w:rPr>
          <w:rFonts w:asciiTheme="majorHAnsi" w:hAnsiTheme="majorHAnsi"/>
          <w:b/>
          <w:bCs/>
          <w:color w:val="auto"/>
          <w:sz w:val="22"/>
          <w:szCs w:val="22"/>
        </w:rPr>
        <w:t xml:space="preserve"> </w:t>
      </w:r>
      <w:r w:rsidR="00586015">
        <w:rPr>
          <w:rFonts w:asciiTheme="majorHAnsi" w:hAnsiTheme="majorHAnsi"/>
          <w:b/>
          <w:bCs/>
          <w:color w:val="auto"/>
          <w:sz w:val="22"/>
          <w:szCs w:val="22"/>
        </w:rPr>
        <w:tab/>
      </w:r>
      <w:r w:rsidR="00AA7984">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650D3430" w14:textId="048ADDB1" w:rsidR="00211616" w:rsidRPr="002C271D" w:rsidRDefault="003F269A" w:rsidP="003F269A">
      <w:pPr>
        <w:pStyle w:val="Default"/>
        <w:jc w:val="both"/>
        <w:rPr>
          <w:rFonts w:asciiTheme="majorHAnsi" w:hAnsiTheme="majorHAnsi"/>
          <w:color w:val="auto"/>
          <w:sz w:val="22"/>
          <w:szCs w:val="22"/>
        </w:rPr>
      </w:pPr>
      <w:r w:rsidRPr="0059071B">
        <w:rPr>
          <w:rFonts w:asciiTheme="majorHAnsi" w:hAnsiTheme="majorHAnsi"/>
          <w:b/>
          <w:bCs/>
          <w:color w:val="auto"/>
          <w:sz w:val="22"/>
          <w:szCs w:val="22"/>
        </w:rPr>
        <w:t>DPH:</w:t>
      </w:r>
      <w:r w:rsidRPr="002C271D">
        <w:rPr>
          <w:rFonts w:asciiTheme="majorHAnsi" w:hAnsiTheme="majorHAnsi"/>
          <w:b/>
          <w:bCs/>
          <w:color w:val="auto"/>
          <w:sz w:val="22"/>
          <w:szCs w:val="22"/>
        </w:rPr>
        <w:t xml:space="preserve">                   </w:t>
      </w:r>
      <w:r w:rsidR="00DC182C">
        <w:rPr>
          <w:rFonts w:asciiTheme="majorHAnsi" w:hAnsiTheme="majorHAnsi"/>
          <w:b/>
          <w:bCs/>
          <w:color w:val="auto"/>
          <w:sz w:val="22"/>
          <w:szCs w:val="22"/>
        </w:rPr>
        <w:t xml:space="preserve">   </w:t>
      </w:r>
      <w:r w:rsidR="00AA7984">
        <w:rPr>
          <w:rFonts w:asciiTheme="majorHAnsi" w:hAnsiTheme="majorHAnsi"/>
          <w:b/>
          <w:bCs/>
          <w:color w:val="auto"/>
          <w:sz w:val="22"/>
          <w:szCs w:val="22"/>
        </w:rPr>
        <w:tab/>
      </w:r>
      <w:r w:rsidR="00E10505">
        <w:rPr>
          <w:rFonts w:asciiTheme="majorHAnsi" w:hAnsiTheme="majorHAnsi"/>
          <w:b/>
          <w:bCs/>
          <w:color w:val="auto"/>
          <w:sz w:val="22"/>
          <w:szCs w:val="22"/>
        </w:rPr>
        <w:tab/>
      </w:r>
      <w:r w:rsidRPr="002C271D">
        <w:rPr>
          <w:rFonts w:asciiTheme="majorHAnsi" w:hAnsiTheme="majorHAnsi"/>
          <w:b/>
          <w:bCs/>
          <w:color w:val="auto"/>
          <w:sz w:val="22"/>
          <w:szCs w:val="22"/>
        </w:rPr>
        <w:t>.........................€</w:t>
      </w:r>
    </w:p>
    <w:p w14:paraId="469803F5" w14:textId="4943CF6A"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s DPH: </w:t>
      </w:r>
      <w:r w:rsidR="003F269A" w:rsidRPr="002C271D">
        <w:rPr>
          <w:rFonts w:asciiTheme="majorHAnsi" w:hAnsiTheme="majorHAnsi"/>
          <w:b/>
          <w:bCs/>
          <w:color w:val="auto"/>
          <w:sz w:val="22"/>
          <w:szCs w:val="22"/>
        </w:rPr>
        <w:t xml:space="preserve">   </w:t>
      </w:r>
      <w:r w:rsidR="00586015">
        <w:rPr>
          <w:rFonts w:asciiTheme="majorHAnsi" w:hAnsiTheme="majorHAnsi"/>
          <w:b/>
          <w:bCs/>
          <w:color w:val="auto"/>
          <w:sz w:val="22"/>
          <w:szCs w:val="22"/>
        </w:rPr>
        <w:tab/>
      </w:r>
      <w:r w:rsidR="00586015">
        <w:rPr>
          <w:rFonts w:asciiTheme="majorHAnsi" w:hAnsiTheme="majorHAnsi"/>
          <w:b/>
          <w:bCs/>
          <w:color w:val="auto"/>
          <w:sz w:val="22"/>
          <w:szCs w:val="22"/>
        </w:rPr>
        <w:tab/>
      </w:r>
      <w:r w:rsidR="003F269A" w:rsidRPr="002C271D">
        <w:rPr>
          <w:rFonts w:asciiTheme="majorHAnsi" w:hAnsiTheme="majorHAnsi"/>
          <w:b/>
          <w:bCs/>
          <w:color w:val="auto"/>
          <w:sz w:val="22"/>
          <w:szCs w:val="22"/>
        </w:rPr>
        <w:t xml:space="preserve"> </w:t>
      </w:r>
      <w:r w:rsidR="00AA7984">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50DCA4C5" w14:textId="342C9DAF" w:rsidR="00211616"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2EAA0DCE" w14:textId="2BFFF3BA" w:rsidR="00801690" w:rsidRDefault="00801690" w:rsidP="003F269A">
      <w:pPr>
        <w:pStyle w:val="Default"/>
        <w:jc w:val="both"/>
        <w:rPr>
          <w:rFonts w:asciiTheme="majorHAnsi" w:hAnsiTheme="majorHAnsi"/>
          <w:b/>
          <w:bCs/>
          <w:color w:val="auto"/>
          <w:sz w:val="22"/>
          <w:szCs w:val="22"/>
        </w:rPr>
      </w:pPr>
    </w:p>
    <w:p w14:paraId="1477FC0C" w14:textId="1C1D040F" w:rsidR="00801690" w:rsidRDefault="00823140" w:rsidP="003F269A">
      <w:pPr>
        <w:pStyle w:val="Default"/>
        <w:jc w:val="both"/>
        <w:rPr>
          <w:rFonts w:asciiTheme="majorHAnsi" w:hAnsiTheme="majorHAnsi"/>
          <w:b/>
          <w:bCs/>
          <w:color w:val="auto"/>
          <w:sz w:val="22"/>
          <w:szCs w:val="22"/>
        </w:rPr>
      </w:pPr>
      <w:r w:rsidRPr="005614BC">
        <w:rPr>
          <w:rFonts w:asciiTheme="majorHAnsi" w:hAnsiTheme="majorHAnsi"/>
          <w:b/>
          <w:bCs/>
          <w:color w:val="auto"/>
          <w:sz w:val="22"/>
          <w:szCs w:val="22"/>
          <w:highlight w:val="yellow"/>
        </w:rPr>
        <w:t>Uchádzač je povinný predložiť ponuku vrátane uvedenia príslušnej sadzby DPH v súlade so zákonom č. 222/2004 Z.z. o dani z pridanej hodnoty v znení účinnom od 1. 1. 2025, keďže sa technológia bude zaobstarávať od roku 2025.</w:t>
      </w:r>
    </w:p>
    <w:p w14:paraId="55376966" w14:textId="77777777" w:rsidR="00823140" w:rsidRPr="00D5415E" w:rsidRDefault="00823140"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0BF0EC91" w:rsidR="005260D5" w:rsidRPr="00CF1A19" w:rsidRDefault="005260D5" w:rsidP="00A33399">
      <w:pPr>
        <w:numPr>
          <w:ilvl w:val="0"/>
          <w:numId w:val="24"/>
        </w:numPr>
        <w:jc w:val="both"/>
        <w:rPr>
          <w:rFonts w:asciiTheme="majorHAnsi" w:hAnsiTheme="majorHAnsi"/>
          <w:b/>
          <w:bCs/>
        </w:rPr>
      </w:pPr>
      <w:r w:rsidRPr="00D5415E">
        <w:rPr>
          <w:rFonts w:asciiTheme="majorHAnsi" w:hAnsiTheme="majorHAnsi"/>
        </w:rPr>
        <w:lastRenderedPageBreak/>
        <w:t xml:space="preserve">názov projektu </w:t>
      </w:r>
      <w:r w:rsidR="002C271D">
        <w:rPr>
          <w:rFonts w:asciiTheme="majorHAnsi" w:hAnsiTheme="majorHAnsi"/>
        </w:rPr>
        <w:t>„</w:t>
      </w:r>
      <w:r w:rsidR="00AA7984" w:rsidRPr="00AA7984">
        <w:rPr>
          <w:rFonts w:asciiTheme="majorHAnsi" w:hAnsiTheme="majorHAnsi"/>
          <w:b/>
          <w:bCs/>
        </w:rPr>
        <w:t>Investície do hmotného majetku pre znižovanie emisií skleníkových plynov a zlepšenie životných podmienok ustajnených zvierat</w:t>
      </w:r>
      <w:r w:rsidR="002C271D" w:rsidRPr="00CF1A19">
        <w:rPr>
          <w:rFonts w:asciiTheme="majorHAnsi" w:hAnsiTheme="majorHAnsi"/>
          <w:b/>
          <w:bCs/>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285F8ADB"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6852614E" w14:textId="77777777" w:rsidR="005260D5" w:rsidRPr="00D5415E" w:rsidRDefault="005260D5" w:rsidP="00A33399">
      <w:pPr>
        <w:ind w:left="1080"/>
        <w:jc w:val="both"/>
        <w:rPr>
          <w:rFonts w:asciiTheme="majorHAnsi" w:hAnsiTheme="majorHAnsi"/>
        </w:rPr>
      </w:pPr>
    </w:p>
    <w:p w14:paraId="3B6BE718" w14:textId="79EEA30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w:t>
      </w:r>
      <w:r w:rsidR="00211616" w:rsidRPr="00801690">
        <w:rPr>
          <w:rFonts w:asciiTheme="majorHAnsi" w:hAnsiTheme="majorHAnsi"/>
          <w:b/>
          <w:bCs/>
          <w:color w:val="auto"/>
          <w:sz w:val="22"/>
          <w:szCs w:val="22"/>
        </w:rPr>
        <w:t xml:space="preserve">do </w:t>
      </w:r>
      <w:r w:rsidR="00801690" w:rsidRPr="00801690">
        <w:rPr>
          <w:rFonts w:asciiTheme="majorHAnsi" w:hAnsiTheme="majorHAnsi"/>
          <w:b/>
          <w:bCs/>
          <w:color w:val="auto"/>
          <w:sz w:val="22"/>
          <w:szCs w:val="22"/>
        </w:rPr>
        <w:t>30</w:t>
      </w:r>
      <w:r w:rsidRPr="00801690">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6FD6F512" w14:textId="77777777" w:rsidR="00801690" w:rsidRDefault="00801690" w:rsidP="00A33399">
      <w:pPr>
        <w:pStyle w:val="Default"/>
        <w:jc w:val="both"/>
        <w:rPr>
          <w:rFonts w:asciiTheme="majorHAnsi" w:hAnsiTheme="majorHAnsi"/>
          <w:bCs/>
          <w:color w:val="auto"/>
          <w:sz w:val="22"/>
          <w:szCs w:val="22"/>
        </w:rPr>
      </w:pPr>
    </w:p>
    <w:p w14:paraId="75F7BDDB" w14:textId="52F082CE"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7F3BC886"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1CBADEC5" w14:textId="4800E5B6" w:rsidR="00801690" w:rsidRDefault="00801690" w:rsidP="00D5415E">
      <w:pPr>
        <w:pStyle w:val="Default"/>
        <w:rPr>
          <w:rFonts w:asciiTheme="majorHAnsi" w:hAnsiTheme="majorHAnsi"/>
          <w:color w:val="auto"/>
          <w:sz w:val="22"/>
          <w:szCs w:val="22"/>
        </w:rPr>
      </w:pPr>
    </w:p>
    <w:p w14:paraId="65794F28" w14:textId="77777777" w:rsidR="00801690" w:rsidRPr="00D5415E" w:rsidRDefault="00801690" w:rsidP="00D5415E">
      <w:pPr>
        <w:pStyle w:val="Default"/>
        <w:rPr>
          <w:rFonts w:asciiTheme="majorHAnsi" w:hAnsiTheme="majorHAnsi"/>
          <w:color w:val="auto"/>
          <w:sz w:val="22"/>
          <w:szCs w:val="22"/>
        </w:rPr>
      </w:pPr>
    </w:p>
    <w:p w14:paraId="0A7538D6" w14:textId="2EFAE8F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3C3DC0">
        <w:rPr>
          <w:rFonts w:asciiTheme="majorHAnsi" w:hAnsiTheme="majorHAnsi"/>
          <w:b/>
          <w:bCs/>
          <w:color w:val="auto"/>
          <w:sz w:val="22"/>
          <w:szCs w:val="22"/>
        </w:rPr>
        <w:t>V</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30945F6" w14:textId="77777777" w:rsidR="00AA7984" w:rsidRDefault="00AA7984" w:rsidP="003A392A">
      <w:pPr>
        <w:pStyle w:val="Default"/>
        <w:jc w:val="center"/>
        <w:rPr>
          <w:rFonts w:asciiTheme="majorHAnsi" w:hAnsiTheme="majorHAnsi"/>
          <w:b/>
          <w:bCs/>
          <w:color w:val="auto"/>
          <w:sz w:val="22"/>
          <w:szCs w:val="22"/>
        </w:rPr>
      </w:pPr>
    </w:p>
    <w:p w14:paraId="4658D7E7" w14:textId="6DF8FCEE" w:rsidR="00801690" w:rsidRPr="00801690" w:rsidRDefault="00801690" w:rsidP="00801690">
      <w:pPr>
        <w:pStyle w:val="Default"/>
        <w:spacing w:after="160"/>
        <w:jc w:val="both"/>
        <w:rPr>
          <w:rFonts w:asciiTheme="majorHAnsi" w:hAnsiTheme="majorHAnsi"/>
          <w:color w:val="auto"/>
          <w:sz w:val="22"/>
          <w:szCs w:val="22"/>
        </w:rPr>
      </w:pPr>
      <w:r>
        <w:rPr>
          <w:rFonts w:asciiTheme="majorHAnsi" w:hAnsiTheme="majorHAnsi"/>
          <w:color w:val="auto"/>
          <w:sz w:val="22"/>
          <w:szCs w:val="22"/>
        </w:rPr>
        <w:t xml:space="preserve">1. </w:t>
      </w:r>
      <w:r w:rsidR="00363896" w:rsidRPr="00363896">
        <w:rPr>
          <w:rFonts w:asciiTheme="majorHAnsi" w:hAnsiTheme="majorHAnsi"/>
          <w:color w:val="auto"/>
          <w:sz w:val="22"/>
          <w:szCs w:val="22"/>
        </w:rPr>
        <w:t>Začatie realizácie zákazky je podmienené doručením písomnej objednávky obstarávateľom dodávateľovi.</w:t>
      </w:r>
    </w:p>
    <w:p w14:paraId="2B3399C5" w14:textId="79DE9BC7" w:rsidR="00211616" w:rsidRPr="00D5415E" w:rsidRDefault="00363896" w:rsidP="00801690">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lastRenderedPageBreak/>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183F264E" w:rsidR="003A327A" w:rsidRDefault="003A327A" w:rsidP="005D51B6">
      <w:pPr>
        <w:pStyle w:val="Default"/>
        <w:rPr>
          <w:rFonts w:asciiTheme="majorHAnsi" w:hAnsiTheme="majorHAnsi"/>
          <w:b/>
          <w:bCs/>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4545FA31" w:rsidR="00EF1FFF" w:rsidRDefault="00EF1FFF" w:rsidP="00EF1FFF">
      <w:pPr>
        <w:pStyle w:val="Default"/>
        <w:rPr>
          <w:rFonts w:asciiTheme="majorHAnsi" w:hAnsiTheme="majorHAnsi"/>
          <w:color w:val="auto"/>
          <w:sz w:val="22"/>
          <w:szCs w:val="22"/>
        </w:rPr>
      </w:pPr>
    </w:p>
    <w:p w14:paraId="289C1014" w14:textId="77777777" w:rsidR="00801690" w:rsidRDefault="00801690"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lastRenderedPageBreak/>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8B0815F" w14:textId="0621A6C9" w:rsidR="008F7721" w:rsidRDefault="008F7721" w:rsidP="005D51B6">
      <w:pPr>
        <w:pStyle w:val="Default"/>
        <w:jc w:val="both"/>
        <w:rPr>
          <w:rFonts w:asciiTheme="majorHAnsi" w:hAnsiTheme="majorHAnsi"/>
          <w:color w:val="auto"/>
          <w:sz w:val="22"/>
          <w:szCs w:val="22"/>
        </w:rPr>
      </w:pP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43837CBF"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57B96F76" w:rsidR="00211616" w:rsidRDefault="00211616" w:rsidP="00D5415E">
      <w:pPr>
        <w:pStyle w:val="Default"/>
        <w:rPr>
          <w:rFonts w:asciiTheme="majorHAnsi" w:hAnsiTheme="majorHAnsi"/>
          <w:color w:val="auto"/>
          <w:sz w:val="22"/>
          <w:szCs w:val="22"/>
        </w:rPr>
      </w:pP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05467188"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w:t>
      </w:r>
      <w:r w:rsidR="00AA7984">
        <w:rPr>
          <w:rFonts w:asciiTheme="majorHAnsi" w:hAnsiTheme="majorHAnsi"/>
          <w:b/>
          <w:bCs/>
          <w:color w:val="auto"/>
          <w:sz w:val="22"/>
          <w:szCs w:val="22"/>
        </w:rPr>
        <w:t xml:space="preserve">_Zadný radlicový aplikátor </w:t>
      </w:r>
      <w:r w:rsidR="00EF5489">
        <w:rPr>
          <w:rFonts w:asciiTheme="majorHAnsi" w:hAnsiTheme="majorHAnsi"/>
          <w:b/>
          <w:bCs/>
          <w:color w:val="auto"/>
          <w:sz w:val="22"/>
          <w:szCs w:val="22"/>
        </w:rPr>
        <w:t xml:space="preserve"> </w:t>
      </w:r>
    </w:p>
    <w:p w14:paraId="1860FE67" w14:textId="695CCC6C"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376EB43D"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 xml:space="preserve">V </w:t>
      </w:r>
      <w:r w:rsidR="00680499">
        <w:rPr>
          <w:rFonts w:asciiTheme="majorHAnsi" w:hAnsiTheme="majorHAnsi"/>
          <w:color w:val="auto"/>
          <w:sz w:val="22"/>
          <w:szCs w:val="22"/>
        </w:rPr>
        <w:t>Mokranciach</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00E5AE70" w14:textId="77777777" w:rsidR="00680499" w:rsidRDefault="00680499" w:rsidP="00D5415E">
      <w:pPr>
        <w:pStyle w:val="Default"/>
        <w:rPr>
          <w:rFonts w:asciiTheme="majorHAnsi" w:hAnsiTheme="majorHAnsi"/>
          <w:color w:val="auto"/>
          <w:sz w:val="22"/>
          <w:szCs w:val="22"/>
        </w:rPr>
      </w:pPr>
    </w:p>
    <w:p w14:paraId="58F0F741" w14:textId="04C12644"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1075D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73BA9C41" w14:textId="0EC48D5C" w:rsidR="00EF5489" w:rsidRDefault="00680499" w:rsidP="00AA7984">
      <w:pPr>
        <w:jc w:val="left"/>
        <w:rPr>
          <w:rFonts w:asciiTheme="majorHAnsi" w:hAnsiTheme="majorHAnsi"/>
        </w:rPr>
      </w:pPr>
      <w:r>
        <w:rPr>
          <w:rFonts w:asciiTheme="majorHAnsi" w:hAnsiTheme="majorHAnsi"/>
        </w:rPr>
        <w:t>PVOD</w:t>
      </w:r>
      <w:r w:rsidR="00AA7984" w:rsidRPr="00AB243D">
        <w:rPr>
          <w:rFonts w:asciiTheme="majorHAnsi" w:hAnsiTheme="majorHAnsi"/>
        </w:rPr>
        <w:t xml:space="preserve"> Mokrance</w:t>
      </w:r>
    </w:p>
    <w:p w14:paraId="4BA1B335" w14:textId="77777777" w:rsidR="00680499" w:rsidRDefault="00680499" w:rsidP="00AA7984">
      <w:pPr>
        <w:jc w:val="left"/>
        <w:rPr>
          <w:rFonts w:asciiTheme="majorHAnsi" w:hAnsiTheme="majorHAnsi"/>
        </w:rPr>
      </w:pPr>
    </w:p>
    <w:p w14:paraId="57193D2F" w14:textId="77777777" w:rsidR="00680499" w:rsidRDefault="00680499" w:rsidP="00AA7984">
      <w:pPr>
        <w:jc w:val="left"/>
        <w:rPr>
          <w:rFonts w:asciiTheme="majorHAnsi" w:hAnsiTheme="majorHAnsi"/>
        </w:rPr>
      </w:pPr>
    </w:p>
    <w:p w14:paraId="69BE4F6B" w14:textId="50DD1607" w:rsidR="00680499" w:rsidRDefault="00680499" w:rsidP="00AA7984">
      <w:pPr>
        <w:jc w:val="left"/>
        <w:rPr>
          <w:rFonts w:asciiTheme="majorHAnsi" w:hAnsiTheme="majorHAnsi"/>
        </w:rPr>
      </w:pPr>
      <w:r>
        <w:rPr>
          <w:rFonts w:asciiTheme="majorHAnsi" w:hAnsiTheme="majorHAnsi"/>
        </w:rPr>
        <w:t>________________________________</w:t>
      </w:r>
    </w:p>
    <w:p w14:paraId="69848689" w14:textId="2C30DDEB" w:rsidR="00680499" w:rsidRDefault="00680499" w:rsidP="00AA7984">
      <w:pPr>
        <w:jc w:val="left"/>
        <w:rPr>
          <w:rFonts w:asciiTheme="majorHAnsi" w:hAnsiTheme="majorHAnsi"/>
        </w:rPr>
      </w:pPr>
      <w:r>
        <w:rPr>
          <w:rFonts w:asciiTheme="majorHAnsi" w:hAnsiTheme="majorHAnsi"/>
        </w:rPr>
        <w:t>Ing. Alexander Korcsmáros</w:t>
      </w:r>
    </w:p>
    <w:p w14:paraId="1477C938" w14:textId="75F2F580" w:rsidR="00680499" w:rsidRDefault="00680499" w:rsidP="00AA7984">
      <w:pPr>
        <w:jc w:val="left"/>
        <w:rPr>
          <w:rFonts w:asciiTheme="majorHAnsi" w:hAnsiTheme="majorHAnsi"/>
        </w:rPr>
      </w:pPr>
      <w:r>
        <w:rPr>
          <w:rFonts w:asciiTheme="majorHAnsi" w:hAnsiTheme="majorHAnsi"/>
        </w:rPr>
        <w:t>predseda predstavenstva</w:t>
      </w:r>
    </w:p>
    <w:p w14:paraId="21D2B10E" w14:textId="77777777" w:rsidR="00680499" w:rsidRDefault="00680499" w:rsidP="00AA7984">
      <w:pPr>
        <w:jc w:val="left"/>
        <w:rPr>
          <w:rFonts w:asciiTheme="majorHAnsi" w:hAnsiTheme="majorHAnsi"/>
        </w:rPr>
      </w:pPr>
    </w:p>
    <w:p w14:paraId="5DC83AA7" w14:textId="77777777" w:rsidR="00680499" w:rsidRDefault="00680499" w:rsidP="00AA7984">
      <w:pPr>
        <w:jc w:val="left"/>
        <w:rPr>
          <w:rFonts w:asciiTheme="majorHAnsi" w:hAnsiTheme="majorHAnsi"/>
        </w:rPr>
      </w:pPr>
    </w:p>
    <w:p w14:paraId="6ECAC847" w14:textId="41D53A78" w:rsidR="00680499" w:rsidRDefault="00680499" w:rsidP="00AA7984">
      <w:pPr>
        <w:jc w:val="left"/>
        <w:rPr>
          <w:rFonts w:asciiTheme="majorHAnsi" w:hAnsiTheme="majorHAnsi"/>
        </w:rPr>
      </w:pPr>
      <w:r>
        <w:rPr>
          <w:rFonts w:asciiTheme="majorHAnsi" w:hAnsiTheme="majorHAnsi"/>
        </w:rPr>
        <w:t>_____________________________________</w:t>
      </w:r>
    </w:p>
    <w:p w14:paraId="4C65D52A" w14:textId="7B35D856" w:rsidR="00680499" w:rsidRDefault="00680499" w:rsidP="00AA7984">
      <w:pPr>
        <w:jc w:val="left"/>
        <w:rPr>
          <w:rFonts w:asciiTheme="majorHAnsi" w:hAnsiTheme="majorHAnsi"/>
        </w:rPr>
      </w:pPr>
      <w:r>
        <w:rPr>
          <w:rFonts w:asciiTheme="majorHAnsi" w:hAnsiTheme="majorHAnsi"/>
        </w:rPr>
        <w:t>Veronika Bérešová</w:t>
      </w:r>
    </w:p>
    <w:p w14:paraId="6E949193" w14:textId="5A2CFD49" w:rsidR="00680499" w:rsidRPr="00AA7984" w:rsidRDefault="00680499" w:rsidP="00AA7984">
      <w:pPr>
        <w:jc w:val="left"/>
        <w:rPr>
          <w:rFonts w:asciiTheme="majorHAnsi" w:hAnsiTheme="majorHAnsi"/>
        </w:rPr>
      </w:pPr>
      <w:r>
        <w:rPr>
          <w:rFonts w:asciiTheme="majorHAnsi" w:hAnsiTheme="majorHAnsi"/>
        </w:rPr>
        <w:t>člen predstavenstva</w:t>
      </w: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4"/>
  </w:num>
  <w:num w:numId="4" w16cid:durableId="131481344">
    <w:abstractNumId w:val="27"/>
  </w:num>
  <w:num w:numId="5" w16cid:durableId="1311132927">
    <w:abstractNumId w:val="28"/>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5"/>
  </w:num>
  <w:num w:numId="25" w16cid:durableId="40374279">
    <w:abstractNumId w:val="29"/>
  </w:num>
  <w:num w:numId="26" w16cid:durableId="1990936924">
    <w:abstractNumId w:val="18"/>
  </w:num>
  <w:num w:numId="27" w16cid:durableId="954211206">
    <w:abstractNumId w:val="20"/>
  </w:num>
  <w:num w:numId="28" w16cid:durableId="1730617989">
    <w:abstractNumId w:val="26"/>
  </w:num>
  <w:num w:numId="29" w16cid:durableId="864909135">
    <w:abstractNumId w:val="23"/>
  </w:num>
  <w:num w:numId="30" w16cid:durableId="83218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55ACF"/>
    <w:rsid w:val="0006763A"/>
    <w:rsid w:val="000873BF"/>
    <w:rsid w:val="000A0C3C"/>
    <w:rsid w:val="000E7A87"/>
    <w:rsid w:val="00105F33"/>
    <w:rsid w:val="001338FB"/>
    <w:rsid w:val="001433A5"/>
    <w:rsid w:val="00150184"/>
    <w:rsid w:val="00157A04"/>
    <w:rsid w:val="001A5DF3"/>
    <w:rsid w:val="001E0725"/>
    <w:rsid w:val="0020602B"/>
    <w:rsid w:val="00211616"/>
    <w:rsid w:val="00264BA8"/>
    <w:rsid w:val="002731F1"/>
    <w:rsid w:val="002938C2"/>
    <w:rsid w:val="002C271D"/>
    <w:rsid w:val="002C3DBC"/>
    <w:rsid w:val="002E3814"/>
    <w:rsid w:val="00361EDB"/>
    <w:rsid w:val="003623CA"/>
    <w:rsid w:val="00363896"/>
    <w:rsid w:val="0038491E"/>
    <w:rsid w:val="003A327A"/>
    <w:rsid w:val="003A392A"/>
    <w:rsid w:val="003C3DC0"/>
    <w:rsid w:val="003D4689"/>
    <w:rsid w:val="003D51A3"/>
    <w:rsid w:val="003F269A"/>
    <w:rsid w:val="004256E1"/>
    <w:rsid w:val="00427EB3"/>
    <w:rsid w:val="0048131A"/>
    <w:rsid w:val="00491C5E"/>
    <w:rsid w:val="004A5D69"/>
    <w:rsid w:val="004C711C"/>
    <w:rsid w:val="004F0EC8"/>
    <w:rsid w:val="005260D5"/>
    <w:rsid w:val="005614BC"/>
    <w:rsid w:val="00586015"/>
    <w:rsid w:val="0059071B"/>
    <w:rsid w:val="005A6DE5"/>
    <w:rsid w:val="005D51B6"/>
    <w:rsid w:val="005D71B6"/>
    <w:rsid w:val="005E06E1"/>
    <w:rsid w:val="005E2046"/>
    <w:rsid w:val="005E45A8"/>
    <w:rsid w:val="00602035"/>
    <w:rsid w:val="00635C2C"/>
    <w:rsid w:val="006618F5"/>
    <w:rsid w:val="006675BA"/>
    <w:rsid w:val="00667C45"/>
    <w:rsid w:val="00680499"/>
    <w:rsid w:val="00694503"/>
    <w:rsid w:val="006A0332"/>
    <w:rsid w:val="0070308C"/>
    <w:rsid w:val="00704E27"/>
    <w:rsid w:val="00765265"/>
    <w:rsid w:val="007B7DE0"/>
    <w:rsid w:val="007C6875"/>
    <w:rsid w:val="007D273D"/>
    <w:rsid w:val="00801690"/>
    <w:rsid w:val="00814466"/>
    <w:rsid w:val="00823140"/>
    <w:rsid w:val="00833CA9"/>
    <w:rsid w:val="008516A3"/>
    <w:rsid w:val="00857A21"/>
    <w:rsid w:val="00871D86"/>
    <w:rsid w:val="008D205E"/>
    <w:rsid w:val="008F7721"/>
    <w:rsid w:val="00966AA3"/>
    <w:rsid w:val="009A6FBF"/>
    <w:rsid w:val="009B3763"/>
    <w:rsid w:val="009C64DA"/>
    <w:rsid w:val="009D5745"/>
    <w:rsid w:val="00A24F4F"/>
    <w:rsid w:val="00A30DC1"/>
    <w:rsid w:val="00A33399"/>
    <w:rsid w:val="00A34001"/>
    <w:rsid w:val="00AA7984"/>
    <w:rsid w:val="00AA7BCA"/>
    <w:rsid w:val="00AB22D5"/>
    <w:rsid w:val="00AB243D"/>
    <w:rsid w:val="00AF597C"/>
    <w:rsid w:val="00B03A15"/>
    <w:rsid w:val="00B06A49"/>
    <w:rsid w:val="00B2327E"/>
    <w:rsid w:val="00B337E4"/>
    <w:rsid w:val="00B53010"/>
    <w:rsid w:val="00BE215A"/>
    <w:rsid w:val="00C06D48"/>
    <w:rsid w:val="00C41C34"/>
    <w:rsid w:val="00C7698D"/>
    <w:rsid w:val="00C86436"/>
    <w:rsid w:val="00CA3D9F"/>
    <w:rsid w:val="00CA5C42"/>
    <w:rsid w:val="00CE5853"/>
    <w:rsid w:val="00CF1A19"/>
    <w:rsid w:val="00D237AB"/>
    <w:rsid w:val="00D35DB3"/>
    <w:rsid w:val="00D5415E"/>
    <w:rsid w:val="00D653B2"/>
    <w:rsid w:val="00D7264D"/>
    <w:rsid w:val="00D7470D"/>
    <w:rsid w:val="00D9135B"/>
    <w:rsid w:val="00DB541B"/>
    <w:rsid w:val="00DC182C"/>
    <w:rsid w:val="00DD5C5A"/>
    <w:rsid w:val="00DF4475"/>
    <w:rsid w:val="00E071ED"/>
    <w:rsid w:val="00E10505"/>
    <w:rsid w:val="00E42B90"/>
    <w:rsid w:val="00E63651"/>
    <w:rsid w:val="00E6654E"/>
    <w:rsid w:val="00E87DCF"/>
    <w:rsid w:val="00EA2565"/>
    <w:rsid w:val="00EA6B2D"/>
    <w:rsid w:val="00ED5DB0"/>
    <w:rsid w:val="00EF1FFF"/>
    <w:rsid w:val="00EF5489"/>
    <w:rsid w:val="00F01A58"/>
    <w:rsid w:val="00F02EA8"/>
    <w:rsid w:val="00F03A0C"/>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7</Pages>
  <Words>2145</Words>
  <Characters>12229</Characters>
  <Application>Microsoft Office Word</Application>
  <DocSecurity>0</DocSecurity>
  <Lines>101</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c1G93</cp:lastModifiedBy>
  <cp:revision>91</cp:revision>
  <cp:lastPrinted>2021-04-15T07:38:00Z</cp:lastPrinted>
  <dcterms:created xsi:type="dcterms:W3CDTF">2021-02-03T16:08:00Z</dcterms:created>
  <dcterms:modified xsi:type="dcterms:W3CDTF">2024-11-21T09:27:00Z</dcterms:modified>
</cp:coreProperties>
</file>