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jc w:val="center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>ZMLUVA NA DODANIE TOVARU</w:t>
      </w:r>
    </w:p>
    <w:p>
      <w:pPr>
        <w:pStyle w:val="BodyTex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BodyTex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uzatvorená podľa zákona číslo 513/1991 Zb. Obchodný zákonník v znení neskorších predpisov (ďalej aj len „zmluva“) medzi týmito zmluvnými stranami:</w:t>
      </w:r>
    </w:p>
    <w:p>
      <w:pPr>
        <w:pStyle w:val="Normal"/>
        <w:jc w:val="both"/>
        <w:rPr/>
      </w:pPr>
      <w:r>
        <w:rPr/>
      </w:r>
    </w:p>
    <w:p>
      <w:pPr>
        <w:pStyle w:val="ListParagraph"/>
        <w:numPr>
          <w:ilvl w:val="0"/>
          <w:numId w:val="6"/>
        </w:numPr>
        <w:ind w:hanging="284" w:left="284"/>
        <w:jc w:val="both"/>
        <w:rPr>
          <w:b/>
        </w:rPr>
      </w:pPr>
      <w:r>
        <w:rPr>
          <w:b/>
        </w:rPr>
        <w:t>Objednávateľ</w:t>
      </w:r>
    </w:p>
    <w:p>
      <w:pPr>
        <w:pStyle w:val="ListParagraph"/>
        <w:jc w:val="both"/>
        <w:rPr/>
      </w:pPr>
      <w:r>
        <w:rPr/>
      </w:r>
    </w:p>
    <w:p>
      <w:pPr>
        <w:pStyle w:val="Header"/>
        <w:tabs>
          <w:tab w:val="clear" w:pos="4536"/>
          <w:tab w:val="center" w:pos="2127" w:leader="none"/>
          <w:tab w:val="right" w:pos="9072" w:leader="none"/>
        </w:tabs>
        <w:rPr/>
      </w:pPr>
      <w:r>
        <w:rPr/>
        <w:t>Obchodný názov:</w:t>
        <w:tab/>
        <w:t xml:space="preserve">       </w:t>
      </w:r>
      <w:r>
        <w:rPr>
          <w:b/>
          <w:bCs/>
        </w:rPr>
        <w:t>PODIELNICKÉ POĽNOHOSPODÁRSKE DRUŽSTVO RYBANY</w:t>
      </w:r>
      <w:r>
        <w:rPr/>
        <w:tab/>
        <w:t xml:space="preserve">        </w:t>
      </w:r>
    </w:p>
    <w:p>
      <w:pPr>
        <w:pStyle w:val="Normal"/>
        <w:ind w:hanging="1985" w:left="1985"/>
        <w:jc w:val="both"/>
        <w:rPr>
          <w:b/>
        </w:rPr>
      </w:pPr>
      <w:r>
        <w:rPr>
          <w:b/>
        </w:rPr>
        <w:t>Sídlo:</w:t>
        <w:tab/>
        <w:tab/>
      </w:r>
      <w:r>
        <w:rPr>
          <w:bCs/>
        </w:rPr>
        <w:t>Rybany 956 36</w:t>
      </w:r>
    </w:p>
    <w:tbl>
      <w:tblPr>
        <w:tblStyle w:val="Mriekatabuky"/>
        <w:tblW w:w="9776" w:type="dxa"/>
        <w:jc w:val="left"/>
        <w:tblInd w:w="-14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69"/>
        <w:gridCol w:w="7506"/>
      </w:tblGrid>
      <w:tr>
        <w:trPr>
          <w:trHeight w:val="371" w:hRule="atLeast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both"/>
              <w:rPr>
                <w:color w:themeColor="text1" w:val="000000"/>
              </w:rPr>
            </w:pPr>
            <w:r>
              <w:rPr>
                <w:rFonts w:eastAsia="Times New Roman" w:cs="Times New Roman"/>
                <w:color w:themeColor="text1" w:val="000000"/>
                <w:kern w:val="0"/>
                <w:lang w:val="sk-SK" w:bidi="ar-SA"/>
              </w:rPr>
              <w:t>Zastúpený:</w:t>
            </w:r>
          </w:p>
        </w:tc>
        <w:tc>
          <w:tcPr>
            <w:tcW w:w="7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before="0" w:after="0"/>
              <w:ind w:right="-2359"/>
              <w:jc w:val="left"/>
              <w:rPr>
                <w:i/>
                <w:i/>
                <w:iCs/>
              </w:rPr>
            </w:pPr>
            <w:r>
              <w:rPr>
                <w:rFonts w:eastAsia="Times New Roman" w:cs="Times New Roman"/>
                <w:i/>
                <w:iCs/>
                <w:kern w:val="0"/>
                <w:lang w:val="sk-SK" w:bidi="ar-SA"/>
              </w:rPr>
              <w:t>Ing. Jaroslav Jaško - Predseda predstavenstva</w:t>
            </w:r>
          </w:p>
          <w:p>
            <w:pPr>
              <w:pStyle w:val="Normal"/>
              <w:widowControl/>
              <w:spacing w:before="0" w:after="0"/>
              <w:ind w:right="-2359"/>
              <w:jc w:val="left"/>
              <w:rPr>
                <w:color w:themeColor="text1" w:val="000000"/>
              </w:rPr>
            </w:pPr>
            <w:r>
              <w:rPr>
                <w:rFonts w:eastAsia="Times New Roman" w:cs="Times New Roman"/>
                <w:i/>
                <w:iCs/>
                <w:kern w:val="0"/>
                <w:lang w:val="sk-SK" w:bidi="ar-SA"/>
              </w:rPr>
              <w:t>Emília G</w:t>
            </w:r>
            <w:r>
              <w:rPr>
                <w:rFonts w:eastAsia="Times New Roman" w:cs="Times New Roman"/>
                <w:i/>
                <w:iCs/>
                <w:kern w:val="0"/>
                <w:lang w:val="sk-SK" w:bidi="ar-SA"/>
              </w:rPr>
              <w:t>e</w:t>
            </w:r>
            <w:r>
              <w:rPr>
                <w:rFonts w:eastAsia="Times New Roman" w:cs="Times New Roman"/>
                <w:i/>
                <w:iCs/>
                <w:kern w:val="0"/>
                <w:lang w:val="sk-SK" w:bidi="ar-SA"/>
              </w:rPr>
              <w:t>ciová - Podpredseda predstavenstva</w:t>
              <w:tab/>
            </w:r>
          </w:p>
        </w:tc>
      </w:tr>
    </w:tbl>
    <w:p>
      <w:pPr>
        <w:pStyle w:val="Normal"/>
        <w:ind w:hanging="2127" w:left="2127"/>
        <w:jc w:val="both"/>
        <w:rPr>
          <w:highlight w:val="yellow"/>
        </w:rPr>
      </w:pPr>
      <w:r>
        <w:rPr/>
        <w:t xml:space="preserve">IČO: </w:t>
        <w:tab/>
        <w:t>00 205 656</w:t>
      </w:r>
    </w:p>
    <w:p>
      <w:pPr>
        <w:pStyle w:val="Normal"/>
        <w:ind w:hanging="2127" w:left="2127"/>
        <w:jc w:val="both"/>
        <w:rPr/>
      </w:pPr>
      <w:r>
        <w:rPr>
          <w:color w:themeColor="text1" w:val="000000"/>
        </w:rPr>
        <w:t xml:space="preserve">IČ DPH: </w:t>
        <w:tab/>
        <w:t>SK</w:t>
      </w:r>
      <w:r>
        <w:rPr>
          <w:bCs/>
          <w:color w:themeColor="text1" w:val="000000"/>
        </w:rPr>
        <w:t>2020416354</w:t>
      </w:r>
    </w:p>
    <w:p>
      <w:pPr>
        <w:pStyle w:val="Normal"/>
        <w:ind w:hanging="2977" w:left="2977"/>
        <w:jc w:val="both"/>
        <w:rPr>
          <w:color w:themeColor="text1" w:val="000000"/>
        </w:rPr>
      </w:pPr>
      <w:r>
        <w:rPr>
          <w:color w:val="FF0000"/>
        </w:rPr>
        <w:fldChar w:fldCharType="begin"/>
      </w:r>
      <w:r>
        <w:rPr>
          <w:color w:val="FF0000"/>
        </w:rPr>
        <w:instrText xml:space="preserve"> MERGEFIELD ucet </w:instrText>
      </w:r>
      <w:r>
        <w:rPr>
          <w:color w:val="FF0000"/>
        </w:rPr>
        <w:fldChar w:fldCharType="separate"/>
      </w:r>
      <w:r>
        <w:rPr>
          <w:color w:val="FF0000"/>
        </w:rPr>
      </w:r>
      <w:r>
        <w:rPr>
          <w:color w:val="FF0000"/>
        </w:rPr>
        <w:fldChar w:fldCharType="end"/>
      </w:r>
    </w:p>
    <w:p>
      <w:pPr>
        <w:pStyle w:val="Normal"/>
        <w:ind w:hanging="2977" w:left="2977"/>
        <w:jc w:val="both"/>
        <w:rPr/>
      </w:pPr>
      <w:r>
        <w:rPr/>
        <w:t>Pracovník oprávnený k rokovaniu vo veciach:</w:t>
      </w:r>
    </w:p>
    <w:p>
      <w:pPr>
        <w:pStyle w:val="ListParagraph"/>
        <w:numPr>
          <w:ilvl w:val="0"/>
          <w:numId w:val="8"/>
        </w:numPr>
        <w:jc w:val="both"/>
        <w:rPr/>
      </w:pPr>
      <w:r>
        <w:rPr/>
        <w:t>Technických:</w:t>
        <w:tab/>
        <w:t xml:space="preserve">    </w:t>
      </w:r>
      <w:r>
        <w:rPr>
          <w:i/>
          <w:iCs/>
        </w:rPr>
        <w:t xml:space="preserve">Ing. Jakub Škoda </w:t>
      </w:r>
      <w:r>
        <w:rPr/>
        <w:fldChar w:fldCharType="begin"/>
      </w:r>
      <w:r>
        <w:rPr/>
        <w:instrText xml:space="preserve"> MERGEFIELD kont_osoba__odborzast </w:instrText>
      </w:r>
      <w:r>
        <w:rPr/>
        <w:fldChar w:fldCharType="separate"/>
      </w:r>
      <w:r>
        <w:rPr/>
      </w:r>
      <w:r>
        <w:rPr/>
        <w:fldChar w:fldCharType="end"/>
      </w:r>
    </w:p>
    <w:p>
      <w:pPr>
        <w:pStyle w:val="Normal"/>
        <w:ind w:hanging="2124" w:left="2124"/>
        <w:jc w:val="both"/>
        <w:rPr>
          <w:color w:themeColor="text1" w:val="000000"/>
        </w:rPr>
      </w:pPr>
      <w:r>
        <w:rPr>
          <w:color w:themeColor="text1" w:val="000000"/>
        </w:rPr>
      </w:r>
    </w:p>
    <w:p>
      <w:pPr>
        <w:pStyle w:val="Normal"/>
        <w:ind w:hanging="2124" w:left="2124"/>
        <w:jc w:val="both"/>
        <w:rPr>
          <w:color w:themeColor="text1" w:val="000000"/>
        </w:rPr>
      </w:pPr>
      <w:r>
        <w:rPr>
          <w:color w:themeColor="text1" w:val="000000"/>
        </w:rPr>
        <w:t>(ďalej aj len „Objednávateľ“)</w:t>
        <w:tab/>
        <w:tab/>
        <w:tab/>
        <w:tab/>
      </w:r>
    </w:p>
    <w:p>
      <w:pPr>
        <w:pStyle w:val="Normal"/>
        <w:ind w:hanging="2124" w:left="2124"/>
        <w:jc w:val="both"/>
        <w:rPr>
          <w:color w:val="FF0000"/>
        </w:rPr>
      </w:pPr>
      <w:r>
        <w:rPr>
          <w:color w:val="FF0000"/>
        </w:rPr>
      </w:r>
    </w:p>
    <w:p>
      <w:pPr>
        <w:pStyle w:val="Normal"/>
        <w:ind w:firstLine="3"/>
        <w:jc w:val="center"/>
        <w:rPr/>
      </w:pPr>
      <w:r>
        <w:rPr/>
        <w:t>a</w:t>
      </w:r>
    </w:p>
    <w:p>
      <w:pPr>
        <w:pStyle w:val="Normal"/>
        <w:jc w:val="both"/>
        <w:rPr/>
      </w:pPr>
      <w:r>
        <w:rPr/>
      </w:r>
    </w:p>
    <w:p>
      <w:pPr>
        <w:pStyle w:val="ListParagraph"/>
        <w:numPr>
          <w:ilvl w:val="0"/>
          <w:numId w:val="6"/>
        </w:numPr>
        <w:ind w:hanging="284" w:left="284"/>
        <w:jc w:val="both"/>
        <w:rPr>
          <w:b/>
        </w:rPr>
      </w:pPr>
      <w:r>
        <w:rPr>
          <w:b/>
        </w:rPr>
        <w:t>Dodávateľ</w:t>
      </w:r>
    </w:p>
    <w:p>
      <w:pPr>
        <w:pStyle w:val="ListParagraph"/>
        <w:jc w:val="both"/>
        <w:rPr>
          <w:b/>
          <w:bCs/>
        </w:rPr>
      </w:pPr>
      <w:r>
        <w:rPr>
          <w:b/>
          <w:bCs/>
        </w:rPr>
      </w:r>
    </w:p>
    <w:p>
      <w:pPr>
        <w:pStyle w:val="Normal"/>
        <w:jc w:val="both"/>
        <w:rPr>
          <w:b/>
          <w:bCs/>
        </w:rPr>
      </w:pPr>
      <w:r>
        <w:rPr/>
        <w:t>Obchodný názov</w:t>
      </w:r>
      <w:r>
        <w:rPr>
          <w:bCs/>
        </w:rPr>
        <w:t>:</w:t>
      </w:r>
      <w:r>
        <w:rPr>
          <w:b/>
          <w:bCs/>
        </w:rPr>
        <w:t xml:space="preserve"> </w:t>
      </w:r>
    </w:p>
    <w:p>
      <w:pPr>
        <w:pStyle w:val="Normal"/>
        <w:jc w:val="both"/>
        <w:rPr>
          <w:b/>
          <w:bCs/>
        </w:rPr>
      </w:pPr>
      <w:r>
        <w:rPr>
          <w:b/>
          <w:bCs/>
        </w:rPr>
        <w:t>Sídlo:</w:t>
      </w:r>
    </w:p>
    <w:p>
      <w:pPr>
        <w:pStyle w:val="Normal"/>
        <w:jc w:val="both"/>
        <w:rPr/>
      </w:pPr>
      <w:r>
        <w:rPr/>
        <w:t xml:space="preserve">Zastúpený: </w:t>
      </w:r>
    </w:p>
    <w:p>
      <w:pPr>
        <w:pStyle w:val="Normal"/>
        <w:jc w:val="both"/>
        <w:rPr>
          <w:b/>
          <w:bCs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/>
        <w:t xml:space="preserve">IČO: </w:t>
      </w:r>
    </w:p>
    <w:p>
      <w:pPr>
        <w:pStyle w:val="Normal"/>
        <w:jc w:val="both"/>
        <w:rPr/>
      </w:pPr>
      <w:r>
        <w:rPr/>
        <w:t xml:space="preserve">IČ DPH: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Bankové spojenie: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Pracovník oprávnený k rokovaniu vo veciach:</w:t>
      </w:r>
    </w:p>
    <w:p>
      <w:pPr>
        <w:pStyle w:val="ListParagraph"/>
        <w:numPr>
          <w:ilvl w:val="0"/>
          <w:numId w:val="8"/>
        </w:numPr>
        <w:jc w:val="both"/>
        <w:rPr/>
      </w:pPr>
      <w:r>
        <w:rPr/>
        <w:t>technických</w:t>
      </w:r>
    </w:p>
    <w:p>
      <w:pPr>
        <w:pStyle w:val="ListParagraph"/>
        <w:rPr/>
      </w:pPr>
      <w:r>
        <w:rPr/>
        <w:t xml:space="preserve">zmluvných: </w:t>
      </w:r>
    </w:p>
    <w:p>
      <w:pPr>
        <w:pStyle w:val="Normal"/>
        <w:ind w:hanging="2124" w:left="2124"/>
        <w:jc w:val="both"/>
        <w:rPr>
          <w:color w:themeColor="text1" w:val="000000"/>
        </w:rPr>
      </w:pPr>
      <w:r>
        <w:rPr>
          <w:color w:themeColor="text1" w:val="000000"/>
        </w:rPr>
        <w:t>(ďalej aj len „Dodávateľ“)</w:t>
        <w:tab/>
        <w:tab/>
        <w:tab/>
        <w:tab/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Preambula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jc w:val="both"/>
        <w:rPr>
          <w:b/>
          <w:bCs/>
        </w:rPr>
      </w:pPr>
      <w:r>
        <w:rPr/>
        <w:t xml:space="preserve">Táto zmluva sa uzatvára ako výsledok verejného obstarávania v zmysle Usmernenia Pôdohospodárskej platobnej agentúry č. 8/2017 k obstarávaniu tovarov, stavebných prác a služieb financovaných z PRV SR 2014-2020, v platnej aktualizácii, na predmet zákazky s názvom </w:t>
      </w:r>
      <w:r>
        <w:rPr>
          <w:b/>
          <w:bCs/>
          <w:color w:val="FF0000"/>
        </w:rPr>
        <w:t xml:space="preserve"> </w:t>
      </w:r>
      <w:r>
        <w:rPr>
          <w:b/>
          <w:bCs/>
        </w:rPr>
        <w:t xml:space="preserve">Postrekovač . </w:t>
      </w:r>
    </w:p>
    <w:p>
      <w:pPr>
        <w:pStyle w:val="Normal"/>
        <w:jc w:val="both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I.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Predmet zmluvy</w:t>
      </w:r>
    </w:p>
    <w:p>
      <w:pPr>
        <w:pStyle w:val="BodyTextIndented"/>
        <w:ind w:lef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BodyTextIndented"/>
        <w:ind w:lef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Dodávateľ sa zaväzuje na vlastné náklady a riziko dodať pre Objednávateľa tovar </w:t>
      </w:r>
      <w:r>
        <w:rPr>
          <w:b/>
          <w:bCs/>
        </w:rPr>
        <w:t xml:space="preserve">Postrekovač  </w:t>
      </w:r>
      <w:r>
        <w:rPr>
          <w:rFonts w:cs="Times New Roman" w:ascii="Times New Roman" w:hAnsi="Times New Roman"/>
        </w:rPr>
        <w:t xml:space="preserve">(ďalej len „predmet zmluvy“) a to v rozsahu a za podmienok určených v tejto zmluve, na základe Cenovej </w:t>
      </w:r>
      <w:r>
        <w:rPr>
          <w:rFonts w:cs="Times New Roman" w:ascii="Times New Roman" w:hAnsi="Times New Roman"/>
          <w:highlight w:val="yellow"/>
        </w:rPr>
        <w:t>ponuky  zo dňa xxx</w:t>
      </w:r>
      <w:r>
        <w:rPr>
          <w:rFonts w:cs="Times New Roman" w:ascii="Times New Roman" w:hAnsi="Times New Roman"/>
        </w:rPr>
        <w:t xml:space="preserve"> a na základe technickej špecifikácie, ktorá bola súčasťou  súťažných podkladov v procese obstarávania.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  <w:bCs/>
        </w:rPr>
      </w:pPr>
      <w:r>
        <w:rPr/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II.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Cena</w:t>
      </w:r>
    </w:p>
    <w:p>
      <w:pPr>
        <w:pStyle w:val="Normal"/>
        <w:ind w:left="708"/>
        <w:jc w:val="center"/>
        <w:rPr>
          <w:b/>
          <w:bCs/>
        </w:rPr>
      </w:pPr>
      <w:r>
        <w:rPr>
          <w:b/>
          <w:bCs/>
        </w:rPr>
      </w:r>
    </w:p>
    <w:p>
      <w:pPr>
        <w:pStyle w:val="BodyTextIndented"/>
        <w:ind w:lef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Cena za predmet zmluvy je stanovená dohodou zmluvných strán v sume:</w:t>
      </w:r>
    </w:p>
    <w:p>
      <w:pPr>
        <w:pStyle w:val="BodyTextIndented"/>
        <w:ind w:lef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Style w:val="Mriekatabuky"/>
        <w:tblW w:w="90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78"/>
        <w:gridCol w:w="3401"/>
        <w:gridCol w:w="749"/>
        <w:gridCol w:w="1480"/>
        <w:gridCol w:w="983"/>
        <w:gridCol w:w="1668"/>
      </w:tblGrid>
      <w:tr>
        <w:trPr/>
        <w:tc>
          <w:tcPr>
            <w:tcW w:w="778" w:type="dxa"/>
            <w:tcBorders/>
          </w:tcPr>
          <w:p>
            <w:pPr>
              <w:pStyle w:val="BodyTextIndented"/>
              <w:widowControl/>
              <w:spacing w:before="0" w:after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lang w:val="sk-SK" w:bidi="ar-SA"/>
              </w:rPr>
              <w:t>P.č.</w:t>
            </w:r>
          </w:p>
        </w:tc>
        <w:tc>
          <w:tcPr>
            <w:tcW w:w="3401" w:type="dxa"/>
            <w:tcBorders/>
          </w:tcPr>
          <w:p>
            <w:pPr>
              <w:pStyle w:val="BodyTextIndented"/>
              <w:widowControl/>
              <w:spacing w:before="0" w:after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lang w:val="sk-SK" w:bidi="ar-SA"/>
              </w:rPr>
              <w:t>Predmet</w:t>
            </w:r>
          </w:p>
        </w:tc>
        <w:tc>
          <w:tcPr>
            <w:tcW w:w="749" w:type="dxa"/>
            <w:tcBorders/>
          </w:tcPr>
          <w:p>
            <w:pPr>
              <w:pStyle w:val="BodyTextIndented"/>
              <w:widowControl/>
              <w:spacing w:before="0" w:after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lang w:val="sk-SK" w:bidi="ar-SA"/>
              </w:rPr>
              <w:t>Počet ks</w:t>
            </w:r>
          </w:p>
        </w:tc>
        <w:tc>
          <w:tcPr>
            <w:tcW w:w="1480" w:type="dxa"/>
            <w:tcBorders/>
          </w:tcPr>
          <w:p>
            <w:pPr>
              <w:pStyle w:val="BodyTextIndented"/>
              <w:widowControl/>
              <w:spacing w:before="0" w:after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lang w:val="sk-SK" w:bidi="ar-SA"/>
              </w:rPr>
              <w:t xml:space="preserve">Cena </w:t>
            </w:r>
          </w:p>
          <w:p>
            <w:pPr>
              <w:pStyle w:val="BodyTextIndented"/>
              <w:widowControl/>
              <w:spacing w:before="0" w:after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lang w:val="sk-SK" w:bidi="ar-SA"/>
              </w:rPr>
              <w:t>v EUR bez DPH</w:t>
            </w:r>
          </w:p>
        </w:tc>
        <w:tc>
          <w:tcPr>
            <w:tcW w:w="983" w:type="dxa"/>
            <w:tcBorders/>
          </w:tcPr>
          <w:p>
            <w:pPr>
              <w:pStyle w:val="BodyTextIndented"/>
              <w:widowControl/>
              <w:spacing w:before="0" w:after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lang w:val="sk-SK" w:bidi="ar-SA"/>
              </w:rPr>
              <w:t>DPH</w:t>
            </w:r>
          </w:p>
          <w:p>
            <w:pPr>
              <w:pStyle w:val="BodyTextIndented"/>
              <w:widowControl/>
              <w:spacing w:before="0" w:after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lang w:val="sk-SK" w:bidi="ar-SA"/>
              </w:rPr>
              <w:t>20%</w:t>
            </w:r>
          </w:p>
        </w:tc>
        <w:tc>
          <w:tcPr>
            <w:tcW w:w="1668" w:type="dxa"/>
            <w:tcBorders/>
          </w:tcPr>
          <w:p>
            <w:pPr>
              <w:pStyle w:val="BodyTextIndented"/>
              <w:widowControl/>
              <w:spacing w:before="0" w:after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lang w:val="sk-SK" w:bidi="ar-SA"/>
              </w:rPr>
              <w:t xml:space="preserve">Cena </w:t>
            </w:r>
          </w:p>
          <w:p>
            <w:pPr>
              <w:pStyle w:val="BodyTextIndented"/>
              <w:widowControl/>
              <w:spacing w:before="0" w:after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lang w:val="sk-SK" w:bidi="ar-SA"/>
              </w:rPr>
              <w:t>v EUR s DPH</w:t>
            </w:r>
          </w:p>
        </w:tc>
      </w:tr>
      <w:tr>
        <w:trPr/>
        <w:tc>
          <w:tcPr>
            <w:tcW w:w="778" w:type="dxa"/>
            <w:tcBorders/>
            <w:vAlign w:val="center"/>
          </w:tcPr>
          <w:p>
            <w:pPr>
              <w:pStyle w:val="BodyTextIndented"/>
              <w:widowControl/>
              <w:spacing w:lineRule="auto" w:line="360" w:before="0" w:after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lang w:val="sk-SK" w:bidi="ar-SA"/>
              </w:rPr>
              <w:t>1.</w:t>
            </w:r>
          </w:p>
        </w:tc>
        <w:tc>
          <w:tcPr>
            <w:tcW w:w="3401" w:type="dxa"/>
            <w:tcBorders/>
            <w:vAlign w:val="center"/>
          </w:tcPr>
          <w:p>
            <w:pPr>
              <w:pStyle w:val="BodyTextIndented"/>
              <w:widowControl/>
              <w:spacing w:before="0" w:after="0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kern w:val="0"/>
                <w:lang w:val="sk-SK" w:bidi="ar-SA"/>
              </w:rPr>
              <w:fldChar w:fldCharType="begin"/>
            </w:r>
            <w:r>
              <w:rPr>
                <w:b/>
                <w:kern w:val="0"/>
                <w:bCs/>
                <w:rFonts w:eastAsia="Times New Roman" w:cs="Times New Roman" w:ascii="Times New Roman" w:hAnsi="Times New Roman"/>
                <w:color w:val="FF0000"/>
                <w:lang w:val="sk-SK" w:bidi="ar-SA"/>
              </w:rPr>
              <w:instrText xml:space="preserve"> MERGEFIELD NázZák1 </w:instrText>
            </w:r>
            <w:r>
              <w:rPr>
                <w:b/>
                <w:kern w:val="0"/>
                <w:bCs/>
                <w:rFonts w:eastAsia="Times New Roman" w:cs="Times New Roman" w:ascii="Times New Roman" w:hAnsi="Times New Roman"/>
                <w:color w:val="FF0000"/>
                <w:lang w:val="sk-SK" w:bidi="ar-SA"/>
              </w:rPr>
              <w:fldChar w:fldCharType="separate"/>
            </w:r>
            <w:r>
              <w:rPr>
                <w:b/>
                <w:kern w:val="0"/>
                <w:bCs/>
                <w:rFonts w:eastAsia="Times New Roman" w:cs="Times New Roman" w:ascii="Times New Roman" w:hAnsi="Times New Roman"/>
                <w:color w:val="FF0000"/>
                <w:lang w:val="sk-SK" w:bidi="ar-SA"/>
              </w:rPr>
            </w:r>
            <w:r>
              <w:rPr>
                <w:b/>
                <w:kern w:val="0"/>
                <w:bCs/>
                <w:rFonts w:eastAsia="Times New Roman" w:cs="Times New Roman" w:ascii="Times New Roman" w:hAnsi="Times New Roman"/>
                <w:color w:val="FF0000"/>
                <w:lang w:val="sk-SK" w:bidi="ar-SA"/>
              </w:rPr>
              <w:fldChar w:fldCharType="end"/>
            </w:r>
          </w:p>
          <w:p>
            <w:pPr>
              <w:pStyle w:val="BodyTextIndented"/>
              <w:widowControl/>
              <w:spacing w:lineRule="auto" w:line="360" w:before="0" w:after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kern w:val="0"/>
                <w:sz w:val="20"/>
                <w:szCs w:val="20"/>
                <w:lang w:val="sk-SK" w:bidi="ar-SA"/>
              </w:rPr>
              <w:t xml:space="preserve">Postrekovač </w:t>
            </w:r>
          </w:p>
          <w:p>
            <w:pPr>
              <w:pStyle w:val="BodyTextIndented"/>
              <w:widowControl/>
              <w:spacing w:lineRule="auto" w:line="360" w:before="0" w:after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sk-SK" w:bidi="ar-SA"/>
              </w:rPr>
              <w:t>Typové označenie:</w:t>
            </w:r>
            <w:r>
              <w:rPr>
                <w:rFonts w:eastAsia="Times New Roman"/>
                <w:b/>
                <w:bCs/>
                <w:kern w:val="0"/>
                <w:sz w:val="20"/>
                <w:szCs w:val="20"/>
                <w:lang w:val="sk-SK" w:bidi="ar-SA"/>
              </w:rPr>
              <w:t xml:space="preserve"> </w:t>
            </w:r>
            <w:r>
              <w:rPr>
                <w:rFonts w:eastAsia="Times New Roman"/>
                <w:b/>
                <w:bCs/>
                <w:kern w:val="0"/>
                <w:sz w:val="20"/>
                <w:szCs w:val="20"/>
                <w:highlight w:val="yellow"/>
                <w:lang w:val="sk-SK" w:bidi="ar-SA"/>
              </w:rPr>
              <w:t>uveďte typové označenie, názov tovaru</w:t>
            </w:r>
          </w:p>
        </w:tc>
        <w:tc>
          <w:tcPr>
            <w:tcW w:w="749" w:type="dxa"/>
            <w:tcBorders/>
            <w:vAlign w:val="center"/>
          </w:tcPr>
          <w:p>
            <w:pPr>
              <w:pStyle w:val="BodyTextIndented"/>
              <w:widowControl/>
              <w:spacing w:lineRule="auto" w:line="360" w:before="0" w:after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lang w:val="sk-SK" w:bidi="ar-SA"/>
              </w:rPr>
              <w:t>1</w:t>
            </w:r>
          </w:p>
        </w:tc>
        <w:tc>
          <w:tcPr>
            <w:tcW w:w="1480" w:type="dxa"/>
            <w:tcBorders/>
            <w:vAlign w:val="center"/>
          </w:tcPr>
          <w:p>
            <w:pPr>
              <w:pStyle w:val="BodyTextIndented"/>
              <w:widowControl/>
              <w:spacing w:lineRule="auto" w:line="360" w:before="0" w:after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highlight w:val="yellow"/>
                <w:lang w:val="sk-SK" w:bidi="ar-SA"/>
              </w:rPr>
              <w:t>xxx</w:t>
            </w:r>
          </w:p>
        </w:tc>
        <w:tc>
          <w:tcPr>
            <w:tcW w:w="983" w:type="dxa"/>
            <w:tcBorders/>
            <w:vAlign w:val="center"/>
          </w:tcPr>
          <w:p>
            <w:pPr>
              <w:pStyle w:val="BodyTextIndented"/>
              <w:widowControl/>
              <w:spacing w:lineRule="auto" w:line="360" w:before="0" w:after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highlight w:val="yellow"/>
                <w:lang w:val="sk-SK" w:bidi="ar-SA"/>
              </w:rPr>
              <w:t>xx</w:t>
            </w:r>
          </w:p>
        </w:tc>
        <w:tc>
          <w:tcPr>
            <w:tcW w:w="1668" w:type="dxa"/>
            <w:tcBorders/>
            <w:vAlign w:val="center"/>
          </w:tcPr>
          <w:p>
            <w:pPr>
              <w:pStyle w:val="BodyTextIndented"/>
              <w:widowControl/>
              <w:spacing w:lineRule="auto" w:line="360" w:before="0" w:after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highlight w:val="yellow"/>
                <w:lang w:val="sk-SK" w:bidi="ar-SA"/>
              </w:rPr>
              <w:t>xxxx</w:t>
            </w:r>
          </w:p>
        </w:tc>
      </w:tr>
    </w:tbl>
    <w:p>
      <w:pPr>
        <w:pStyle w:val="Normal"/>
        <w:jc w:val="both"/>
        <w:rPr>
          <w:bCs/>
        </w:rPr>
      </w:pPr>
      <w:r>
        <w:rPr>
          <w:bCs/>
        </w:rPr>
      </w:r>
    </w:p>
    <w:p>
      <w:pPr>
        <w:pStyle w:val="Normal"/>
        <w:jc w:val="both"/>
        <w:rPr>
          <w:b/>
        </w:rPr>
      </w:pPr>
      <w:r>
        <w:rPr>
          <w:bCs/>
        </w:rPr>
        <w:t>Súčasťou ceny je aj doprava predmetu zmluvy do miesta dodania:  Rybany.</w:t>
      </w:r>
    </w:p>
    <w:p>
      <w:pPr>
        <w:pStyle w:val="Normal"/>
        <w:jc w:val="both"/>
        <w:rPr>
          <w:bCs/>
        </w:rPr>
      </w:pPr>
      <w:r>
        <w:rPr>
          <w:bCs/>
        </w:rPr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III.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Platobné podmienky</w:t>
      </w:r>
    </w:p>
    <w:p>
      <w:pPr>
        <w:pStyle w:val="BodyTextIndented"/>
        <w:ind w:lef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BodyTextIndented"/>
        <w:numPr>
          <w:ilvl w:val="0"/>
          <w:numId w:val="9"/>
        </w:numPr>
        <w:ind w:hanging="426" w:left="426"/>
        <w:rPr>
          <w:rFonts w:ascii="Times New Roman" w:hAnsi="Times New Roman" w:cs="Times New Roman"/>
          <w:bCs/>
          <w:color w:val="000000"/>
        </w:rPr>
      </w:pPr>
      <w:r>
        <w:rPr>
          <w:rFonts w:cs="Times New Roman" w:ascii="Times New Roman" w:hAnsi="Times New Roman"/>
          <w:bCs/>
          <w:color w:val="000000"/>
        </w:rPr>
        <w:t>Cena podľa čl. II tejto zmluvy  bude Dodávateľovi zaplatená zo strany Objednávateľa nasledovným spôsobom:</w:t>
      </w:r>
    </w:p>
    <w:p>
      <w:pPr>
        <w:pStyle w:val="BodyTextIndented"/>
        <w:ind w:left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ind w:left="567"/>
        <w:jc w:val="both"/>
        <w:rPr>
          <w:rFonts w:ascii="Times New Roman" w:hAnsi="Times New Roman"/>
          <w:bCs/>
          <w:lang w:val="sk-SK"/>
        </w:rPr>
      </w:pPr>
      <w:r>
        <w:rPr>
          <w:rFonts w:ascii="Times New Roman" w:hAnsi="Times New Roman"/>
          <w:bCs/>
          <w:lang w:val="sk-SK"/>
        </w:rPr>
        <w:t xml:space="preserve">- plná suma za predmet zákazky bude dodávateľovi uhradená po  dodaní tovaru na základe vystavenej a doručenej faktúry.  Faktúru vystaví a doručí dodávateľ do 15 dní od dodania a prebratia tovaru so splatnosťou 30 dní.  </w:t>
      </w:r>
    </w:p>
    <w:p>
      <w:pPr>
        <w:pStyle w:val="Normal"/>
        <w:suppressAutoHyphens w:val="true"/>
        <w:spacing w:lineRule="atLeast" w:line="240"/>
        <w:jc w:val="both"/>
        <w:rPr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ListParagraph"/>
        <w:numPr>
          <w:ilvl w:val="0"/>
          <w:numId w:val="7"/>
        </w:numPr>
        <w:suppressAutoHyphens w:val="true"/>
        <w:spacing w:lineRule="atLeast" w:line="240"/>
        <w:jc w:val="both"/>
        <w:rPr/>
      </w:pPr>
      <w:r>
        <w:rPr>
          <w:color w:val="000000"/>
          <w:shd w:fill="FFFFFF" w:val="clear"/>
        </w:rPr>
        <w:t>Zmluvná cena bude Objednávateľom uhradená prostredníctvom bezhotovostného prevodu finančných prostriedkov na bankový účet Dodávateľa uvedený v záhlaví tejto zmluvy, pričom za okamih uhradenia príslušnej čiastky sa považuje odpísanie čiastky z bankového účtu Objednávateľa v prospech bankového účtu Dodávateľa.</w:t>
      </w:r>
    </w:p>
    <w:p>
      <w:pPr>
        <w:pStyle w:val="ListParagraph"/>
        <w:suppressAutoHyphens w:val="true"/>
        <w:spacing w:lineRule="atLeast" w:line="240"/>
        <w:ind w:left="360"/>
        <w:jc w:val="both"/>
        <w:rPr/>
      </w:pPr>
      <w:r>
        <w:rPr/>
      </w:r>
    </w:p>
    <w:p>
      <w:pPr>
        <w:pStyle w:val="ListParagraph"/>
        <w:numPr>
          <w:ilvl w:val="0"/>
          <w:numId w:val="7"/>
        </w:numPr>
        <w:suppressAutoHyphens w:val="true"/>
        <w:spacing w:lineRule="atLeast" w:line="240"/>
        <w:jc w:val="both"/>
        <w:rPr/>
      </w:pPr>
      <w:r>
        <w:rPr/>
        <w:t>V prípade, že faktúra Dodávateľa nebude obsahovať všetky náležitosti daňového dokladu v zmysle § 71 zákona č. 222/2004 Z. z. o dani z pridanej hodnoty v znení neskorších predpisov, alebo neboli k nej priložené všetky požadované prílohy alebo neboli splnené podmienky pre vystavenie faktúry uvedené v tejto Zmluve, Objednávateľ je oprávnený takúto faktúru vrátiť Dodávateľovi v lehote do 7 dní odo dňa doručenia, pričom nová lehota splatnosti opravenej faktúry začína plynúť odo dňa doručenia opravenej faktúry Objednávateľovi. V takom prípade nová lehota splatnosti faktúry začne plynúť v deň, kedy boli zistené nedostatky odstránené a Objednávateľovi doručená nová faktúra.</w:t>
      </w:r>
    </w:p>
    <w:p>
      <w:pPr>
        <w:pStyle w:val="Normal"/>
        <w:suppressAutoHyphens w:val="true"/>
        <w:spacing w:lineRule="atLeast" w:line="240"/>
        <w:jc w:val="both"/>
        <w:rPr/>
      </w:pPr>
      <w:r>
        <w:rPr/>
      </w:r>
    </w:p>
    <w:p>
      <w:pPr>
        <w:pStyle w:val="Normal"/>
        <w:numPr>
          <w:ilvl w:val="0"/>
          <w:numId w:val="7"/>
        </w:numPr>
        <w:suppressAutoHyphens w:val="true"/>
        <w:spacing w:lineRule="atLeast" w:line="240"/>
        <w:jc w:val="both"/>
        <w:rPr/>
      </w:pPr>
      <w:r>
        <w:rPr/>
        <w:t>V Zmluvnej cene sú zahrnuté všetky náklady súvisiace s dodaním predmetu zmluvy.</w:t>
      </w:r>
    </w:p>
    <w:p>
      <w:pPr>
        <w:pStyle w:val="Normal"/>
        <w:suppressAutoHyphens w:val="true"/>
        <w:spacing w:lineRule="atLeast" w:line="240"/>
        <w:jc w:val="both"/>
        <w:rPr/>
      </w:pPr>
      <w:r>
        <w:rPr/>
      </w:r>
    </w:p>
    <w:p>
      <w:pPr>
        <w:pStyle w:val="BodyTextIndented"/>
        <w:tabs>
          <w:tab w:val="clear" w:pos="709"/>
          <w:tab w:val="left" w:pos="360" w:leader="none"/>
        </w:tabs>
        <w:ind w:left="0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BodyTextIndented"/>
        <w:ind w:left="0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IV.</w:t>
      </w:r>
    </w:p>
    <w:p>
      <w:pPr>
        <w:pStyle w:val="BodyTextIndented"/>
        <w:ind w:left="0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Čas plnenia</w:t>
      </w:r>
    </w:p>
    <w:p>
      <w:pPr>
        <w:pStyle w:val="BodyTextIndented"/>
        <w:ind w:lef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BodyTextIndented"/>
        <w:numPr>
          <w:ilvl w:val="0"/>
          <w:numId w:val="5"/>
        </w:numPr>
        <w:ind w:hanging="284" w:left="284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Dodávateľ sa zaväzuje dodať predmet zmluvy v termíne najneskôr do </w:t>
      </w:r>
      <w:r>
        <w:rPr>
          <w:rFonts w:cs="Times New Roman" w:ascii="Times New Roman" w:hAnsi="Times New Roman"/>
          <w:b/>
          <w:bCs/>
        </w:rPr>
        <w:t>31.5.</w:t>
      </w:r>
      <w:r>
        <w:rPr>
          <w:rFonts w:cs="Times New Roman" w:ascii="Times New Roman" w:hAnsi="Times New Roman"/>
          <w:b/>
          <w:bCs/>
          <w:shd w:fill="auto" w:val="clear"/>
        </w:rPr>
        <w:t>2025.</w:t>
      </w:r>
      <w:r>
        <w:rPr>
          <w:rFonts w:cs="Times New Roman" w:ascii="Times New Roman" w:hAnsi="Times New Roman"/>
          <w:b/>
          <w:bCs/>
        </w:rPr>
        <w:t xml:space="preserve"> </w:t>
      </w:r>
    </w:p>
    <w:p>
      <w:pPr>
        <w:pStyle w:val="BodyTextIndented"/>
        <w:ind w:lef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284"/>
        <w:jc w:val="both"/>
        <w:rPr/>
      </w:pPr>
      <w:r>
        <w:rPr/>
        <w:t>Dodávateľ sa zaväzuje oznámiť Objednávateľovi presný termín dodania predmetu zmluvy, v dostatočnom predstihu najmenej tri dni vopred pracovníkovi oprávnenému k rokovaniu vo veciach zmluvných.</w:t>
      </w:r>
    </w:p>
    <w:p>
      <w:pPr>
        <w:pStyle w:val="BodyTextIndented"/>
        <w:tabs>
          <w:tab w:val="clear" w:pos="709"/>
          <w:tab w:val="left" w:pos="360" w:leader="none"/>
        </w:tabs>
        <w:ind w:hanging="284" w:left="284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BodyTextIndented"/>
        <w:numPr>
          <w:ilvl w:val="0"/>
          <w:numId w:val="0"/>
        </w:numPr>
        <w:ind w:hanging="0" w:left="284"/>
        <w:rPr>
          <w:rFonts w:ascii="Times New Roman" w:hAnsi="Times New Roman" w:cs="Times New Roman"/>
        </w:rPr>
      </w:pPr>
      <w:r>
        <w:rPr/>
      </w:r>
    </w:p>
    <w:p>
      <w:pPr>
        <w:pStyle w:val="BodyText2"/>
        <w:tabs>
          <w:tab w:val="clear" w:pos="709"/>
          <w:tab w:val="left" w:pos="3600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Indented"/>
        <w:ind w:left="0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V.</w:t>
      </w:r>
    </w:p>
    <w:p>
      <w:pPr>
        <w:pStyle w:val="BodyTextIndented"/>
        <w:ind w:left="0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Záručná doba  a záručný servis</w:t>
      </w:r>
    </w:p>
    <w:p>
      <w:pPr>
        <w:pStyle w:val="BodyTextIndented"/>
        <w:ind w:left="765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BodyTextIndented"/>
        <w:numPr>
          <w:ilvl w:val="0"/>
          <w:numId w:val="1"/>
        </w:numPr>
        <w:tabs>
          <w:tab w:val="clear" w:pos="709"/>
          <w:tab w:val="left" w:pos="360" w:leader="none"/>
        </w:tabs>
        <w:ind w:hanging="426" w:left="426"/>
        <w:rPr>
          <w:rFonts w:ascii="Times New Roman" w:hAnsi="Times New Roman" w:cs="Times New Roman"/>
          <w:color w:themeColor="text1" w:val="000000"/>
        </w:rPr>
      </w:pPr>
      <w:r>
        <w:rPr>
          <w:rFonts w:cs="Times New Roman" w:ascii="Times New Roman" w:hAnsi="Times New Roman"/>
        </w:rPr>
        <w:t>Dodávateľ poskytne na predmet zmluvy záruku 24 mesiacov</w:t>
      </w:r>
      <w:r>
        <w:rPr>
          <w:rFonts w:cs="Times New Roman" w:ascii="Times New Roman" w:hAnsi="Times New Roman"/>
          <w:color w:themeColor="text1" w:val="000000"/>
        </w:rPr>
        <w:t xml:space="preserve">.  </w:t>
      </w:r>
    </w:p>
    <w:p>
      <w:pPr>
        <w:pStyle w:val="BodyTextIndented"/>
        <w:ind w:left="141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BodyTextIndented"/>
        <w:numPr>
          <w:ilvl w:val="0"/>
          <w:numId w:val="1"/>
        </w:numPr>
        <w:tabs>
          <w:tab w:val="clear" w:pos="709"/>
          <w:tab w:val="left" w:pos="360" w:leader="none"/>
        </w:tabs>
        <w:ind w:hanging="360" w:left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Objednávateľ sa zaväzuje, že prípadnú reklamáciu nedostatku predmetu zmluvy uplatní bezodkladne po jeho zistení písomnou formou Dodávateľovi. </w:t>
      </w:r>
    </w:p>
    <w:p>
      <w:pPr>
        <w:pStyle w:val="BodyTextIndented"/>
        <w:ind w:left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BodyTextIndented"/>
        <w:numPr>
          <w:ilvl w:val="0"/>
          <w:numId w:val="1"/>
        </w:numPr>
        <w:tabs>
          <w:tab w:val="clear" w:pos="709"/>
          <w:tab w:val="left" w:pos="360" w:leader="none"/>
        </w:tabs>
        <w:ind w:hanging="360" w:left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Dodávateľ sa zaväzuje vykonávať záručný servis na predmete zmluvy v termíne podľa dohody s Objednávateľom, resp. najneskôr </w:t>
      </w:r>
      <w:r>
        <w:rPr>
          <w:rFonts w:cs="Times New Roman" w:ascii="Times New Roman" w:hAnsi="Times New Roman"/>
        </w:rPr>
        <w:t>do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48 hodín </w:t>
      </w:r>
      <w:r>
        <w:rPr>
          <w:rFonts w:cs="Times New Roman" w:ascii="Times New Roman" w:hAnsi="Times New Roman"/>
        </w:rPr>
        <w:t>od písomného (stačí email) oznámenia poruchy.</w:t>
      </w:r>
    </w:p>
    <w:p>
      <w:pPr>
        <w:pStyle w:val="ListParagraph"/>
        <w:rPr/>
      </w:pPr>
      <w:r>
        <w:rPr/>
      </w:r>
    </w:p>
    <w:p>
      <w:pPr>
        <w:pStyle w:val="BodyTextIndented"/>
        <w:numPr>
          <w:ilvl w:val="0"/>
          <w:numId w:val="1"/>
        </w:numPr>
        <w:tabs>
          <w:tab w:val="clear" w:pos="709"/>
          <w:tab w:val="left" w:pos="360" w:leader="none"/>
        </w:tabs>
        <w:ind w:hanging="360" w:left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Záruka sa vzťahuje len na predmet zmluvy dodaný Dodávateľom a jej plnenie je podmienené úplným finančným vyrovnaním zmluvných strán.</w:t>
      </w:r>
    </w:p>
    <w:p>
      <w:pPr>
        <w:pStyle w:val="BodyTextIndented"/>
        <w:ind w:left="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BodyTextIndented"/>
        <w:ind w:left="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BodyTextIndented"/>
        <w:ind w:left="0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VI.</w:t>
      </w:r>
    </w:p>
    <w:p>
      <w:pPr>
        <w:pStyle w:val="BodyTextIndented"/>
        <w:ind w:left="0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Zmluvné pokuty</w:t>
      </w:r>
    </w:p>
    <w:p>
      <w:pPr>
        <w:pStyle w:val="BodyTextIndented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 xml:space="preserve">     </w:t>
      </w:r>
    </w:p>
    <w:p>
      <w:pPr>
        <w:pStyle w:val="BodyTextIndented"/>
        <w:ind w:lef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Zmluvné strany sa v súlade s Obchodným zákonníkom dohodli na týchto zmluvných pokutách za porušenie povinností vyplývajúcich z tejto zmluvy:</w:t>
      </w:r>
    </w:p>
    <w:p>
      <w:pPr>
        <w:pStyle w:val="BodyTextIndente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BodyTextIndented"/>
        <w:numPr>
          <w:ilvl w:val="0"/>
          <w:numId w:val="2"/>
        </w:numPr>
        <w:tabs>
          <w:tab w:val="clear" w:pos="709"/>
          <w:tab w:val="left" w:pos="360" w:leader="none"/>
        </w:tabs>
        <w:ind w:hanging="360" w:left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Objednávateľ je povinný zaplatiť Dodávateľovi zmluvnú pokutu vo výške 0,05% zo sumy riadne doručenej faktúry za každý deň omeškania s jej úhradou.</w:t>
      </w:r>
    </w:p>
    <w:p>
      <w:pPr>
        <w:pStyle w:val="BodyTextIndented"/>
        <w:tabs>
          <w:tab w:val="clear" w:pos="709"/>
          <w:tab w:val="left" w:pos="360" w:leader="none"/>
        </w:tabs>
        <w:ind w:hanging="360" w:left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BodyTextIndented"/>
        <w:numPr>
          <w:ilvl w:val="0"/>
          <w:numId w:val="2"/>
        </w:numPr>
        <w:tabs>
          <w:tab w:val="clear" w:pos="709"/>
          <w:tab w:val="left" w:pos="360" w:leader="none"/>
        </w:tabs>
        <w:ind w:hanging="360" w:left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Objednávateľ je oprávnený znížiť uhrádzanú čiastku konečnej faktúry o 0,05% za každý deň omeškania Dodávateľa pri nedodržaní termínov dohodnutých v tejto zmluve.</w:t>
      </w:r>
    </w:p>
    <w:p>
      <w:pPr>
        <w:pStyle w:val="BodyTextIndented"/>
        <w:ind w:lef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BodyTextIndented"/>
        <w:numPr>
          <w:ilvl w:val="0"/>
          <w:numId w:val="2"/>
        </w:numPr>
        <w:tabs>
          <w:tab w:val="clear" w:pos="709"/>
          <w:tab w:val="left" w:pos="360" w:leader="none"/>
        </w:tabs>
        <w:ind w:hanging="426" w:left="426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Pokiaľ sa pri určovaní zmluvnej pokuty vychádza z dohodnutej sumy, alebo jej časti, za základ výpočtu sa berie cena bez DPH.</w:t>
      </w:r>
    </w:p>
    <w:p>
      <w:pPr>
        <w:pStyle w:val="BodyTextIndented"/>
        <w:ind w:left="426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BodyTextIndented"/>
        <w:numPr>
          <w:ilvl w:val="0"/>
          <w:numId w:val="2"/>
        </w:numPr>
        <w:tabs>
          <w:tab w:val="clear" w:pos="709"/>
          <w:tab w:val="left" w:pos="360" w:leader="none"/>
        </w:tabs>
        <w:ind w:hanging="426" w:left="426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Nárok na náhradu škody v plnom rozsahu uplatnením zmluvnej pokuty nie je dotknutý.</w:t>
      </w:r>
    </w:p>
    <w:p>
      <w:pPr>
        <w:pStyle w:val="BodyTextIndented"/>
        <w:tabs>
          <w:tab w:val="clear" w:pos="709"/>
          <w:tab w:val="left" w:pos="360" w:leader="none"/>
        </w:tabs>
        <w:ind w:left="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BodyTextIndented"/>
        <w:tabs>
          <w:tab w:val="clear" w:pos="709"/>
          <w:tab w:val="left" w:pos="360" w:leader="none"/>
        </w:tabs>
        <w:ind w:left="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BodyTextIndented"/>
        <w:ind w:left="0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VII.</w:t>
      </w:r>
    </w:p>
    <w:p>
      <w:pPr>
        <w:pStyle w:val="BodyTextIndented"/>
        <w:ind w:left="0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Ďalšie dojednania</w:t>
      </w:r>
    </w:p>
    <w:p>
      <w:pPr>
        <w:pStyle w:val="BodyTextIndented"/>
        <w:ind w:left="1068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BodyTextIndented"/>
        <w:numPr>
          <w:ilvl w:val="0"/>
          <w:numId w:val="4"/>
        </w:numPr>
        <w:ind w:hanging="426" w:left="426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Dodávateľ bude pri plnení predmetu zmluvy postupovať s odbornou starostlivosťou. Dodávateľ sa zaväzuje vykonať dodanie predmetu zmluvy vo vlastnom mene a na vlastnú zodpovednosť, dodržiavať všeobecne záväzné predpisy, bezpečnostné predpisy, technické normy a podmienky tejto zmluvy.</w:t>
      </w:r>
    </w:p>
    <w:p>
      <w:pPr>
        <w:pStyle w:val="BodyTextIndented"/>
        <w:ind w:left="426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BodyTextIndented"/>
        <w:numPr>
          <w:ilvl w:val="0"/>
          <w:numId w:val="4"/>
        </w:numPr>
        <w:ind w:hanging="426" w:left="426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Nebezpečenstvo škody na dodaní predmetu zmluvy znáša do času jeho protokolárneho prevzatia Dodávateľ.</w:t>
      </w:r>
    </w:p>
    <w:p>
      <w:pPr>
        <w:pStyle w:val="BodyTextIndented"/>
        <w:ind w:hanging="426" w:left="426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BodyTextIndented"/>
        <w:numPr>
          <w:ilvl w:val="0"/>
          <w:numId w:val="4"/>
        </w:numPr>
        <w:ind w:hanging="426" w:left="426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Oprávnení zamestnanci Pôdohospodárskej platobnej agentúry, Ministerstva pôdohospodárstva a rozvoja vidieka Slovenskej republiky, orgánov Európskej únie a ďalšie oprávnené osoby, v súlade s právnymi predpismi Slovenskej republiky a predpismi Európskej únie, môžu vykonávať voči dodávateľovi kontrolu / audit obchodných dokumentov a vecnú kontrolu v súvislosti s realizáciou zákazky a dodávateľ je povinný poskytnúť súčinnosť v plnej miere. Toto ustanovenie s uvedenou povinnosťou musia obsahovať aj zmluvy dodávateľa so subdodávateľmi.</w:t>
      </w:r>
    </w:p>
    <w:p>
      <w:pPr>
        <w:pStyle w:val="BodyTextIndented"/>
        <w:ind w:left="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BodyTextIndented"/>
        <w:ind w:left="0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BodyTextIndented"/>
        <w:ind w:left="0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VIII.</w:t>
      </w:r>
    </w:p>
    <w:p>
      <w:pPr>
        <w:pStyle w:val="BodyTextIndented"/>
        <w:ind w:left="0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Záverečné ustanovenia</w:t>
      </w:r>
    </w:p>
    <w:p>
      <w:pPr>
        <w:pStyle w:val="BodyTextIndented"/>
        <w:ind w:left="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BodyTextIndented"/>
        <w:numPr>
          <w:ilvl w:val="0"/>
          <w:numId w:val="3"/>
        </w:numPr>
        <w:tabs>
          <w:tab w:val="clear" w:pos="709"/>
          <w:tab w:val="left" w:pos="360" w:leader="none"/>
        </w:tabs>
        <w:ind w:hanging="360" w:left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Pokiaľ v tejto zmluve nie je dohodnuté inak, riadia sa právne pomery zmluvných  strán Obchodným zákonníkom.</w:t>
      </w:r>
    </w:p>
    <w:p>
      <w:pPr>
        <w:pStyle w:val="BodyTextIndented"/>
        <w:tabs>
          <w:tab w:val="clear" w:pos="709"/>
          <w:tab w:val="left" w:pos="360" w:leader="none"/>
        </w:tabs>
        <w:ind w:hanging="360" w:left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BodyTextIndented"/>
        <w:numPr>
          <w:ilvl w:val="0"/>
          <w:numId w:val="3"/>
        </w:numPr>
        <w:tabs>
          <w:tab w:val="clear" w:pos="709"/>
          <w:tab w:val="left" w:pos="360" w:leader="none"/>
        </w:tabs>
        <w:ind w:hanging="360" w:left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Túto zmluvu je možné zmeniť, doplniť alebo zrušiť len formou písomných dodatkov k tejto zmluve podpísaných oprávnenými zástupcami oboch zmluvných strán.</w:t>
      </w:r>
    </w:p>
    <w:p>
      <w:pPr>
        <w:pStyle w:val="BodyTextIndented"/>
        <w:tabs>
          <w:tab w:val="clear" w:pos="709"/>
          <w:tab w:val="left" w:pos="360" w:leader="none"/>
        </w:tabs>
        <w:ind w:hanging="360" w:left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BodyTextIndented"/>
        <w:numPr>
          <w:ilvl w:val="0"/>
          <w:numId w:val="3"/>
        </w:numPr>
        <w:tabs>
          <w:tab w:val="clear" w:pos="709"/>
          <w:tab w:val="left" w:pos="360" w:leader="none"/>
        </w:tabs>
        <w:ind w:hanging="360" w:left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Táto zmluva je vyhotovená v dvoch exemplároch, z ktorých každá zmluvná strana obdrží jedno vyhotovenie podpísanej zmluvy.</w:t>
      </w:r>
    </w:p>
    <w:p>
      <w:pPr>
        <w:pStyle w:val="BodyTextIndented"/>
        <w:tabs>
          <w:tab w:val="clear" w:pos="709"/>
          <w:tab w:val="left" w:pos="360" w:leader="none"/>
        </w:tabs>
        <w:ind w:hanging="360" w:left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BodyTextIndented"/>
        <w:numPr>
          <w:ilvl w:val="0"/>
          <w:numId w:val="3"/>
        </w:numPr>
        <w:tabs>
          <w:tab w:val="clear" w:pos="709"/>
          <w:tab w:val="left" w:pos="360" w:leader="none"/>
        </w:tabs>
        <w:ind w:hanging="360" w:left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Táto zmluva nadobúda platnosť dňom podpísania oboma zmluvnými stranami.</w:t>
      </w:r>
    </w:p>
    <w:p>
      <w:pPr>
        <w:pStyle w:val="BodyTextIndented"/>
        <w:ind w:left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BodyTextIndented"/>
        <w:numPr>
          <w:ilvl w:val="0"/>
          <w:numId w:val="3"/>
        </w:numPr>
        <w:tabs>
          <w:tab w:val="clear" w:pos="709"/>
          <w:tab w:val="left" w:pos="360" w:leader="none"/>
        </w:tabs>
        <w:ind w:hanging="360" w:left="360"/>
        <w:rPr/>
      </w:pPr>
      <w:r>
        <w:rPr>
          <w:rFonts w:cs="Times New Roman" w:ascii="Times New Roman" w:hAnsi="Times New Roman"/>
        </w:rPr>
        <w:t>Zmluvné strany si túto zmluvu prečítali, porozumeli jej obsahu a zhodne vyhlasujú, že vyjadruje ich slobodnú, skutočnú a vážnu vôľu a nie sú známe okolnosti, ktoré by ju robili neplatnou, nie je uzatváraná pod nátlakom a na znak súhlasu pripájajú podpisy osôb oprávnených podpisovať v ich mene.</w:t>
      </w:r>
    </w:p>
    <w:p>
      <w:pPr>
        <w:pStyle w:val="BodyTextIndented"/>
        <w:ind w:lef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tbl>
      <w:tblPr>
        <w:tblStyle w:val="Mriekatabuky"/>
        <w:tblW w:w="906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88"/>
        <w:gridCol w:w="3827"/>
        <w:gridCol w:w="1980"/>
        <w:gridCol w:w="2265"/>
      </w:tblGrid>
      <w:tr>
        <w:trPr/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both"/>
              <w:rPr>
                <w:b/>
              </w:rPr>
            </w:pPr>
            <w:r>
              <w:rPr>
                <w:rFonts w:eastAsia="Times New Roman" w:cs="Times New Roman"/>
                <w:b/>
                <w:kern w:val="0"/>
                <w:lang w:val="sk-SK" w:bidi="ar-SA"/>
              </w:rPr>
              <w:t>Miesto: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Times New Roman" w:cs="Times New Roman"/>
                <w:kern w:val="0"/>
                <w:lang w:val="sk-SK" w:bidi="ar-SA"/>
              </w:rPr>
            </w:pPr>
            <w:r>
              <w:rPr>
                <w:rFonts w:eastAsia="Times New Roman" w:cs="Times New Roman"/>
                <w:kern w:val="0"/>
                <w:lang w:val="sk-SK" w:bidi="ar-SA"/>
              </w:rPr>
              <w:t xml:space="preserve">Rybany  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both"/>
              <w:rPr>
                <w:b/>
              </w:rPr>
            </w:pPr>
            <w:r>
              <w:rPr>
                <w:rFonts w:eastAsia="Times New Roman" w:cs="Times New Roman"/>
                <w:b/>
                <w:kern w:val="0"/>
                <w:lang w:val="sk-SK" w:bidi="ar-SA"/>
              </w:rPr>
              <w:t>Miesto: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Times New Roman" w:cs="Times New Roman"/>
                <w:kern w:val="0"/>
                <w:lang w:val="sk-SK" w:bidi="ar-SA"/>
              </w:rPr>
            </w:pPr>
            <w:r>
              <w:rPr>
                <w:rFonts w:eastAsia="Times New Roman" w:cs="Times New Roman"/>
                <w:kern w:val="0"/>
                <w:lang w:val="sk-SK" w:bidi="ar-SA"/>
              </w:rPr>
            </w:r>
          </w:p>
        </w:tc>
      </w:tr>
      <w:tr>
        <w:trPr/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both"/>
              <w:rPr>
                <w:b/>
              </w:rPr>
            </w:pPr>
            <w:r>
              <w:rPr>
                <w:rFonts w:eastAsia="Times New Roman" w:cs="Times New Roman"/>
                <w:b/>
                <w:kern w:val="0"/>
                <w:lang w:val="sk-SK" w:bidi="ar-SA"/>
              </w:rPr>
              <w:t>Dňa: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Times New Roman" w:cs="Times New Roman"/>
                <w:kern w:val="0"/>
                <w:lang w:val="sk-SK" w:bidi="ar-SA"/>
              </w:rPr>
            </w:pPr>
            <w:r>
              <w:rPr>
                <w:rFonts w:eastAsia="Times New Roman" w:cs="Times New Roman"/>
                <w:kern w:val="0"/>
                <w:lang w:val="sk-SK" w:bidi="ar-SA"/>
              </w:rPr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both"/>
              <w:rPr>
                <w:b/>
              </w:rPr>
            </w:pPr>
            <w:r>
              <w:rPr>
                <w:rFonts w:eastAsia="Times New Roman" w:cs="Times New Roman"/>
                <w:b/>
                <w:kern w:val="0"/>
                <w:lang w:val="sk-SK" w:bidi="ar-SA"/>
              </w:rPr>
              <w:t>Dňa: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Times New Roman" w:cs="Times New Roman"/>
                <w:kern w:val="0"/>
                <w:lang w:val="sk-SK" w:bidi="ar-SA"/>
              </w:rPr>
            </w:pPr>
            <w:r>
              <w:rPr>
                <w:rFonts w:eastAsia="Times New Roman" w:cs="Times New Roman"/>
                <w:kern w:val="0"/>
                <w:lang w:val="sk-SK" w:bidi="ar-SA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jc w:val="both"/>
        <w:rPr>
          <w:i/>
          <w:i/>
          <w:iCs/>
        </w:rPr>
      </w:pPr>
      <w:r>
        <w:rPr>
          <w:i/>
          <w:iCs/>
        </w:rPr>
        <w:t>Ing. Jaroslav Jaško - Predseda predstavenstva</w:t>
      </w:r>
    </w:p>
    <w:p>
      <w:pPr>
        <w:pStyle w:val="Normal"/>
        <w:jc w:val="both"/>
        <w:rPr>
          <w:i/>
          <w:i/>
          <w:iCs/>
        </w:rPr>
      </w:pPr>
      <w:r>
        <w:rPr>
          <w:i/>
          <w:iCs/>
        </w:rPr>
        <w:t xml:space="preserve">Emília Geciová - Podpredseda predstavenstva </w:t>
      </w:r>
    </w:p>
    <w:p>
      <w:pPr>
        <w:pStyle w:val="Normal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jc w:val="both"/>
        <w:rPr/>
      </w:pPr>
      <w:r>
        <w:rPr/>
        <w:t>-------------------------------------------------</w:t>
        <w:tab/>
        <w:tab/>
        <w:tab/>
        <w:t>------------------------------------------</w:t>
      </w:r>
    </w:p>
    <w:p>
      <w:pPr>
        <w:pStyle w:val="Normal"/>
        <w:jc w:val="both"/>
        <w:rPr/>
      </w:pPr>
      <w:r>
        <w:rPr/>
        <w:t>Dátum a podpis osoby</w:t>
        <w:tab/>
        <w:tab/>
        <w:tab/>
        <w:tab/>
        <w:tab/>
        <w:t>Dátum a podpis osoby</w:t>
      </w:r>
    </w:p>
    <w:p>
      <w:pPr>
        <w:pStyle w:val="Normal"/>
        <w:jc w:val="both"/>
        <w:rPr/>
      </w:pPr>
      <w:r>
        <w:rPr/>
        <w:t>oprávnenej uzatvoriť</w:t>
        <w:tab/>
        <w:tab/>
        <w:tab/>
        <w:tab/>
        <w:tab/>
        <w:tab/>
        <w:t>oprávnenej uzatvoriť</w:t>
      </w:r>
    </w:p>
    <w:p>
      <w:pPr>
        <w:pStyle w:val="Normal"/>
        <w:jc w:val="both"/>
        <w:rPr/>
      </w:pPr>
      <w:r>
        <w:rPr/>
        <w:t>túto zmluvu za objednávateľa</w:t>
        <w:tab/>
        <w:tab/>
        <w:tab/>
        <w:tab/>
        <w:t>túto zmluvu za dodávateľa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8" w:right="1418" w:gutter="0" w:header="709" w:top="1134" w:footer="709" w:bottom="1418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Cambria"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965540567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right="36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Rámec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Header"/>
                            <w:pBdr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.15pt;height:1.15pt;mso-wrap-distance-left:0pt;mso-wrap-distance-right:0pt;mso-wrap-distance-top:0pt;mso-wrap-distance-bottom:0pt;margin-top:0.05pt;mso-position-vertical-relative:text;margin-left:0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Header"/>
                      <w:pBdr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right="36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1">
      <w:start w:val="1"/>
      <w:numFmt w:val="bullet"/>
      <w:lvlText w:val=""/>
      <w:lvlJc w:val="left"/>
      <w:pPr>
        <w:tabs>
          <w:tab w:val="num" w:pos="2490"/>
        </w:tabs>
        <w:ind w:left="2490" w:hanging="360"/>
      </w:pPr>
      <w:rPr>
        <w:rFonts w:ascii="Wingdings" w:hAnsi="Wingdings" w:cs="Wingdings" w:hint="default"/>
        <w:sz w:val="16"/>
      </w:rPr>
    </w:lvl>
    <w:lvl w:ilvl="2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8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sk-SK" w:eastAsia="sk-SK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uiPriority="0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d0c78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cs-CZ" w:val="sk-SK" w:bidi="ar-SA"/>
    </w:rPr>
  </w:style>
  <w:style w:type="paragraph" w:styleId="Heading1">
    <w:name w:val="Heading 1"/>
    <w:basedOn w:val="Normal"/>
    <w:next w:val="Normal"/>
    <w:link w:val="Nadpis1Char"/>
    <w:qFormat/>
    <w:rsid w:val="00263729"/>
    <w:pPr>
      <w:keepNext w:val="true"/>
      <w:ind w:firstLine="708" w:left="3540"/>
      <w:jc w:val="both"/>
      <w:outlineLvl w:val="0"/>
    </w:pPr>
    <w:rPr>
      <w:rFonts w:ascii="Arial" w:hAnsi="Arial" w:cs="Arial"/>
      <w:b/>
      <w:bCs/>
    </w:rPr>
  </w:style>
  <w:style w:type="paragraph" w:styleId="Heading6">
    <w:name w:val="Heading 6"/>
    <w:basedOn w:val="Normal"/>
    <w:next w:val="Normal"/>
    <w:link w:val="Nadpis6Char"/>
    <w:uiPriority w:val="99"/>
    <w:qFormat/>
    <w:rsid w:val="00263729"/>
    <w:pPr>
      <w:keepNext w:val="true"/>
      <w:tabs>
        <w:tab w:val="clear" w:pos="709"/>
        <w:tab w:val="left" w:pos="3600" w:leader="none"/>
      </w:tabs>
      <w:jc w:val="both"/>
      <w:outlineLvl w:val="5"/>
    </w:pPr>
    <w:rPr>
      <w:rFonts w:ascii="Arial" w:hAnsi="Arial" w:cs="Arial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basedOn w:val="DefaultParagraphFont"/>
    <w:uiPriority w:val="99"/>
    <w:qFormat/>
    <w:locked/>
    <w:rsid w:val="00824ad3"/>
    <w:rPr>
      <w:rFonts w:ascii="Cambria" w:hAnsi="Cambria" w:cs="Times New Roman"/>
      <w:b/>
      <w:bCs/>
      <w:kern w:val="2"/>
      <w:sz w:val="32"/>
      <w:szCs w:val="32"/>
      <w:lang w:val="cs-CZ" w:eastAsia="cs-CZ"/>
    </w:rPr>
  </w:style>
  <w:style w:type="character" w:styleId="Nadpis6Char" w:customStyle="1">
    <w:name w:val="Nadpis 6 Char"/>
    <w:basedOn w:val="DefaultParagraphFont"/>
    <w:uiPriority w:val="99"/>
    <w:semiHidden/>
    <w:qFormat/>
    <w:locked/>
    <w:rsid w:val="00824ad3"/>
    <w:rPr>
      <w:rFonts w:ascii="Calibri" w:hAnsi="Calibri" w:cs="Times New Roman"/>
      <w:b/>
      <w:bCs/>
      <w:lang w:val="cs-CZ" w:eastAsia="cs-CZ"/>
    </w:rPr>
  </w:style>
  <w:style w:type="character" w:styleId="NzovChar" w:customStyle="1">
    <w:name w:val="Názov Char"/>
    <w:basedOn w:val="DefaultParagraphFont"/>
    <w:uiPriority w:val="99"/>
    <w:qFormat/>
    <w:locked/>
    <w:rsid w:val="00824ad3"/>
    <w:rPr>
      <w:rFonts w:ascii="Cambria" w:hAnsi="Cambria" w:cs="Times New Roman"/>
      <w:b/>
      <w:bCs/>
      <w:kern w:val="2"/>
      <w:sz w:val="32"/>
      <w:szCs w:val="32"/>
      <w:lang w:val="cs-CZ" w:eastAsia="cs-CZ"/>
    </w:rPr>
  </w:style>
  <w:style w:type="character" w:styleId="ZkladntextChar" w:customStyle="1">
    <w:name w:val="Základný text Char"/>
    <w:basedOn w:val="DefaultParagraphFont"/>
    <w:uiPriority w:val="99"/>
    <w:semiHidden/>
    <w:qFormat/>
    <w:locked/>
    <w:rsid w:val="00824ad3"/>
    <w:rPr>
      <w:rFonts w:cs="Times New Roman"/>
      <w:sz w:val="24"/>
      <w:szCs w:val="24"/>
      <w:lang w:val="cs-CZ" w:eastAsia="cs-CZ"/>
    </w:rPr>
  </w:style>
  <w:style w:type="character" w:styleId="ZarkazkladnhotextuChar" w:customStyle="1">
    <w:name w:val="Zarážka základného textu Char"/>
    <w:basedOn w:val="DefaultParagraphFont"/>
    <w:link w:val="BodyTextIndented"/>
    <w:uiPriority w:val="99"/>
    <w:semiHidden/>
    <w:qFormat/>
    <w:locked/>
    <w:rsid w:val="00824ad3"/>
    <w:rPr>
      <w:rFonts w:cs="Times New Roman"/>
      <w:sz w:val="24"/>
      <w:szCs w:val="24"/>
      <w:lang w:val="cs-CZ" w:eastAsia="cs-CZ"/>
    </w:rPr>
  </w:style>
  <w:style w:type="character" w:styleId="HlavikaChar" w:customStyle="1">
    <w:name w:val="Hlavička Char"/>
    <w:basedOn w:val="DefaultParagraphFont"/>
    <w:uiPriority w:val="99"/>
    <w:qFormat/>
    <w:locked/>
    <w:rsid w:val="005d107c"/>
    <w:rPr>
      <w:rFonts w:cs="Times New Roman"/>
      <w:sz w:val="24"/>
      <w:szCs w:val="24"/>
      <w:lang w:val="cs-CZ" w:eastAsia="cs-CZ"/>
    </w:rPr>
  </w:style>
  <w:style w:type="character" w:styleId="PageNumber">
    <w:name w:val="Page Number"/>
    <w:basedOn w:val="DefaultParagraphFont"/>
    <w:uiPriority w:val="99"/>
    <w:semiHidden/>
    <w:rsid w:val="00263729"/>
    <w:rPr>
      <w:rFonts w:cs="Times New Roman"/>
    </w:rPr>
  </w:style>
  <w:style w:type="character" w:styleId="Zkladntext2Char" w:customStyle="1">
    <w:name w:val="Základný text 2 Char"/>
    <w:basedOn w:val="DefaultParagraphFont"/>
    <w:link w:val="BodyText2"/>
    <w:uiPriority w:val="99"/>
    <w:semiHidden/>
    <w:qFormat/>
    <w:locked/>
    <w:rsid w:val="00824ad3"/>
    <w:rPr>
      <w:rFonts w:cs="Times New Roman"/>
      <w:sz w:val="24"/>
      <w:szCs w:val="24"/>
      <w:lang w:val="cs-CZ" w:eastAsia="cs-CZ"/>
    </w:rPr>
  </w:style>
  <w:style w:type="character" w:styleId="PtaChar" w:customStyle="1">
    <w:name w:val="Päta Char"/>
    <w:basedOn w:val="DefaultParagraphFont"/>
    <w:uiPriority w:val="99"/>
    <w:qFormat/>
    <w:locked/>
    <w:rsid w:val="00bd31bb"/>
    <w:rPr>
      <w:rFonts w:cs="Times New Roman"/>
      <w:sz w:val="24"/>
      <w:szCs w:val="24"/>
      <w:lang w:val="cs-CZ" w:eastAsia="cs-CZ"/>
    </w:rPr>
  </w:style>
  <w:style w:type="character" w:styleId="Zarkazkladnhotextu2Char" w:customStyle="1">
    <w:name w:val="Zarážka základného textu 2 Char"/>
    <w:basedOn w:val="DefaultParagraphFont"/>
    <w:link w:val="BodyTextIndent2"/>
    <w:uiPriority w:val="99"/>
    <w:semiHidden/>
    <w:qFormat/>
    <w:locked/>
    <w:rsid w:val="00824ad3"/>
    <w:rPr>
      <w:rFonts w:cs="Times New Roman"/>
      <w:sz w:val="24"/>
      <w:szCs w:val="24"/>
      <w:lang w:val="cs-CZ" w:eastAsia="cs-CZ"/>
    </w:rPr>
  </w:style>
  <w:style w:type="character" w:styleId="TextbublinyChar" w:customStyle="1">
    <w:name w:val="Text bubliny Char"/>
    <w:basedOn w:val="DefaultParagraphFont"/>
    <w:link w:val="BalloonText"/>
    <w:uiPriority w:val="99"/>
    <w:semiHidden/>
    <w:qFormat/>
    <w:locked/>
    <w:rsid w:val="00f76fa0"/>
    <w:rPr>
      <w:rFonts w:ascii="Tahoma" w:hAnsi="Tahoma" w:cs="Tahoma"/>
      <w:sz w:val="16"/>
      <w:szCs w:val="16"/>
      <w:lang w:val="cs-CZ" w:eastAsia="cs-CZ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384b2b"/>
    <w:rPr>
      <w:sz w:val="16"/>
      <w:szCs w:val="16"/>
    </w:rPr>
  </w:style>
  <w:style w:type="character" w:styleId="TextkomentraChar" w:customStyle="1">
    <w:name w:val="Text komentára Char"/>
    <w:basedOn w:val="DefaultParagraphFont"/>
    <w:uiPriority w:val="99"/>
    <w:semiHidden/>
    <w:qFormat/>
    <w:rsid w:val="00384b2b"/>
    <w:rPr>
      <w:lang w:val="cs-CZ" w:eastAsia="cs-CZ"/>
    </w:rPr>
  </w:style>
  <w:style w:type="character" w:styleId="PredmetkomentraChar" w:customStyle="1">
    <w:name w:val="Predmet komentára Char"/>
    <w:basedOn w:val="TextkomentraChar"/>
    <w:link w:val="annotationsubject"/>
    <w:uiPriority w:val="99"/>
    <w:semiHidden/>
    <w:qFormat/>
    <w:rsid w:val="00384b2b"/>
    <w:rPr>
      <w:b/>
      <w:bCs/>
      <w:lang w:val="cs-CZ" w:eastAsia="cs-CZ"/>
    </w:rPr>
  </w:style>
  <w:style w:type="character" w:styleId="InternetLink">
    <w:name w:val="Internet Link"/>
    <w:basedOn w:val="DefaultParagraphFont"/>
    <w:uiPriority w:val="99"/>
    <w:unhideWhenUsed/>
    <w:qFormat/>
    <w:rsid w:val="0029135d"/>
    <w:rPr>
      <w:color w:val="0000FF"/>
      <w:u w:val="single"/>
    </w:rPr>
  </w:style>
  <w:style w:type="character" w:styleId="BezriadkovaniaChar" w:customStyle="1">
    <w:name w:val="Bez riadkovania Char"/>
    <w:link w:val="NoSpacing"/>
    <w:qFormat/>
    <w:locked/>
    <w:rsid w:val="0018133f"/>
    <w:rPr>
      <w:rFonts w:ascii="Arial" w:hAnsi="Arial"/>
      <w:sz w:val="24"/>
      <w:szCs w:val="24"/>
      <w:lang w:val="cs-CZ" w:eastAsia="en-US"/>
    </w:rPr>
  </w:style>
  <w:style w:type="character" w:styleId="TextpoznmkypodiarouChar" w:customStyle="1">
    <w:name w:val="Text poznámky pod čiarou Char"/>
    <w:basedOn w:val="DefaultParagraphFont"/>
    <w:uiPriority w:val="99"/>
    <w:semiHidden/>
    <w:qFormat/>
    <w:rsid w:val="008b7578"/>
    <w:rPr>
      <w:lang w:eastAsia="cs-CZ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8b7578"/>
    <w:rPr>
      <w:vertAlign w:val="superscript"/>
    </w:rPr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ZkladntextChar"/>
    <w:semiHidden/>
    <w:rsid w:val="00263729"/>
    <w:pPr>
      <w:jc w:val="both"/>
    </w:pPr>
    <w:rPr>
      <w:rFonts w:ascii="Arial" w:hAnsi="Arial" w:cs="Arial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gister">
    <w:name w:val="Register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link w:val="NzovChar"/>
    <w:uiPriority w:val="99"/>
    <w:qFormat/>
    <w:rsid w:val="00263729"/>
    <w:pPr>
      <w:jc w:val="center"/>
    </w:pPr>
    <w:rPr>
      <w:rFonts w:ascii="Arial" w:hAnsi="Arial" w:cs="Arial"/>
      <w:sz w:val="32"/>
    </w:rPr>
  </w:style>
  <w:style w:type="paragraph" w:styleId="BodyTextIndented">
    <w:name w:val="Body Text, Indented"/>
    <w:basedOn w:val="Normal"/>
    <w:link w:val="ZarkazkladnhotextuChar"/>
    <w:uiPriority w:val="99"/>
    <w:semiHidden/>
    <w:qFormat/>
    <w:rsid w:val="00263729"/>
    <w:pPr>
      <w:ind w:left="708"/>
      <w:jc w:val="both"/>
    </w:pPr>
    <w:rPr>
      <w:rFonts w:ascii="Arial" w:hAnsi="Arial" w:cs="Arial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lavikaChar"/>
    <w:rsid w:val="00263729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BodyText2">
    <w:name w:val="Body Text 2"/>
    <w:basedOn w:val="Normal"/>
    <w:link w:val="Zkladntext2Char"/>
    <w:uiPriority w:val="99"/>
    <w:semiHidden/>
    <w:qFormat/>
    <w:rsid w:val="00263729"/>
    <w:pPr>
      <w:jc w:val="both"/>
    </w:pPr>
    <w:rPr>
      <w:sz w:val="20"/>
      <w:szCs w:val="20"/>
    </w:rPr>
  </w:style>
  <w:style w:type="paragraph" w:styleId="Footer">
    <w:name w:val="Footer"/>
    <w:basedOn w:val="Normal"/>
    <w:link w:val="PtaChar"/>
    <w:uiPriority w:val="99"/>
    <w:rsid w:val="00263729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BodyTextIndent2">
    <w:name w:val="Body Text Indent 2"/>
    <w:basedOn w:val="Normal"/>
    <w:link w:val="Zarkazkladnhotextu2Char"/>
    <w:uiPriority w:val="99"/>
    <w:semiHidden/>
    <w:qFormat/>
    <w:rsid w:val="00263729"/>
    <w:pPr>
      <w:tabs>
        <w:tab w:val="clear" w:pos="709"/>
        <w:tab w:val="left" w:pos="3600" w:leader="none"/>
      </w:tabs>
      <w:ind w:hanging="3600" w:left="3600"/>
      <w:jc w:val="both"/>
    </w:pPr>
    <w:rPr>
      <w:rFonts w:ascii="Arial" w:hAnsi="Arial" w:cs="Arial"/>
      <w:sz w:val="20"/>
    </w:rPr>
  </w:style>
  <w:style w:type="paragraph" w:styleId="ListParagraph">
    <w:name w:val="List Paragraph"/>
    <w:basedOn w:val="Normal"/>
    <w:uiPriority w:val="34"/>
    <w:qFormat/>
    <w:rsid w:val="0007736f"/>
    <w:pPr>
      <w:spacing w:before="0" w:after="0"/>
      <w:ind w:left="720"/>
      <w:contextualSpacing/>
    </w:pPr>
    <w:rPr/>
  </w:style>
  <w:style w:type="paragraph" w:styleId="BalloonText">
    <w:name w:val="Balloon Text"/>
    <w:basedOn w:val="Normal"/>
    <w:link w:val="TextbublinyChar"/>
    <w:uiPriority w:val="99"/>
    <w:semiHidden/>
    <w:qFormat/>
    <w:rsid w:val="00f76fa0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TextkomentraChar"/>
    <w:uiPriority w:val="99"/>
    <w:semiHidden/>
    <w:unhideWhenUsed/>
    <w:rsid w:val="00384b2b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PredmetkomentraChar"/>
    <w:uiPriority w:val="99"/>
    <w:semiHidden/>
    <w:unhideWhenUsed/>
    <w:qFormat/>
    <w:rsid w:val="00384b2b"/>
    <w:pPr/>
    <w:rPr>
      <w:b/>
      <w:bCs/>
    </w:rPr>
  </w:style>
  <w:style w:type="paragraph" w:styleId="Revision">
    <w:name w:val="Revision"/>
    <w:uiPriority w:val="99"/>
    <w:semiHidden/>
    <w:qFormat/>
    <w:rsid w:val="00dc68f5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cs-CZ" w:val="sk-SK" w:bidi="ar-SA"/>
    </w:rPr>
  </w:style>
  <w:style w:type="paragraph" w:styleId="NoSpacing">
    <w:name w:val="No Spacing"/>
    <w:link w:val="BezriadkovaniaChar"/>
    <w:qFormat/>
    <w:rsid w:val="0018133f"/>
    <w:pPr>
      <w:widowControl/>
      <w:bidi w:val="0"/>
      <w:spacing w:before="0" w:after="0"/>
      <w:jc w:val="left"/>
    </w:pPr>
    <w:rPr>
      <w:rFonts w:ascii="Arial" w:hAnsi="Arial" w:eastAsia="Times New Roman" w:cs="Times New Roman"/>
      <w:color w:val="auto"/>
      <w:kern w:val="0"/>
      <w:sz w:val="24"/>
      <w:szCs w:val="24"/>
      <w:lang w:val="cs-CZ" w:eastAsia="en-US" w:bidi="ar-SA"/>
    </w:rPr>
  </w:style>
  <w:style w:type="paragraph" w:styleId="FootnoteText">
    <w:name w:val="Footnote Text"/>
    <w:basedOn w:val="Normal"/>
    <w:link w:val="TextpoznmkypodiarouChar"/>
    <w:uiPriority w:val="99"/>
    <w:semiHidden/>
    <w:unhideWhenUsed/>
    <w:rsid w:val="008b7578"/>
    <w:pPr/>
    <w:rPr>
      <w:sz w:val="20"/>
      <w:szCs w:val="20"/>
    </w:rPr>
  </w:style>
  <w:style w:type="paragraph" w:styleId="Obsahrmca">
    <w:name w:val="Obsah rámca"/>
    <w:basedOn w:val="Normal"/>
    <w:qFormat/>
    <w:pPr/>
    <w:rPr/>
  </w:style>
  <w:style w:type="numbering" w:styleId="Bezzoznamu" w:default="1">
    <w:name w:val="Bez zoznamu"/>
    <w:uiPriority w:val="99"/>
    <w:semiHidden/>
    <w:unhideWhenUsed/>
    <w:qFormat/>
  </w:style>
  <w:style w:type="numbering" w:styleId="Aktulnyzoznam1" w:customStyle="1">
    <w:name w:val="Aktuálny zoznam1"/>
    <w:uiPriority w:val="99"/>
    <w:qFormat/>
    <w:rsid w:val="000b001e"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Mriekatabuky">
    <w:name w:val="Table Grid"/>
    <w:basedOn w:val="Normlnatabuka"/>
    <w:unhideWhenUsed/>
    <w:rsid w:val="00a8707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3935E8-07DF-4114-BF09-C6FC06626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Application>LibreOffice/24.2.5.2$Windows_X86_64 LibreOffice_project/bffef4ea93e59bebbeaf7f431bb02b1a39ee8a59</Application>
  <AppVersion>15.0000</AppVersion>
  <Pages>4</Pages>
  <Words>942</Words>
  <Characters>5694</Characters>
  <CharactersWithSpaces>6591</CharactersWithSpaces>
  <Paragraphs>99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2024-02-27T06:51:00Z</dcterms:created>
  <dc:creator>Administrator</dc:creator>
  <dc:description/>
  <dc:language>sk-SK</dc:language>
  <cp:lastModifiedBy/>
  <cp:lastPrinted>2024-11-27T08:54:13Z</cp:lastPrinted>
  <dcterms:modified xsi:type="dcterms:W3CDTF">2024-11-27T11:07:55Z</dcterms:modified>
  <cp:revision>20</cp:revision>
  <dc:subject/>
  <dc:title>ZMLUVA  O  DIELO  č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