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762155E9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3226FF">
        <w:rPr>
          <w:rFonts w:ascii="Arial Narrow" w:hAnsi="Arial Narrow" w:cstheme="minorHAnsi"/>
          <w:b/>
          <w:sz w:val="21"/>
          <w:szCs w:val="21"/>
          <w:lang w:val="sk-SK"/>
        </w:rPr>
        <w:t>GAMAZ s.r.o.</w:t>
      </w:r>
    </w:p>
    <w:p w14:paraId="2D173036" w14:textId="74757C63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3226FF">
        <w:rPr>
          <w:rFonts w:ascii="Arial Narrow" w:hAnsi="Arial Narrow" w:cs="Arial"/>
          <w:iCs/>
          <w:sz w:val="21"/>
          <w:szCs w:val="21"/>
          <w:lang w:val="sk-SK"/>
        </w:rPr>
        <w:t>Drienovec 478</w:t>
      </w:r>
      <w:r w:rsidR="00E90BEA">
        <w:rPr>
          <w:rFonts w:ascii="Arial Narrow" w:hAnsi="Arial Narrow" w:cs="Arial"/>
          <w:iCs/>
          <w:sz w:val="21"/>
          <w:szCs w:val="21"/>
          <w:lang w:val="sk-SK"/>
        </w:rPr>
        <w:t xml:space="preserve">, </w:t>
      </w:r>
      <w:r w:rsidR="00E90BEA" w:rsidRPr="00E90BEA">
        <w:rPr>
          <w:rFonts w:ascii="Arial Narrow" w:hAnsi="Arial Narrow" w:cs="Arial"/>
          <w:iCs/>
          <w:sz w:val="21"/>
          <w:szCs w:val="21"/>
          <w:lang w:val="sk-SK"/>
        </w:rPr>
        <w:t>044 01 Drienovec</w:t>
      </w:r>
    </w:p>
    <w:p w14:paraId="0C5D0612" w14:textId="54859E61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 xml:space="preserve">Mgr. Zuzana </w:t>
      </w:r>
      <w:proofErr w:type="spellStart"/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>Fedáková</w:t>
      </w:r>
      <w:proofErr w:type="spellEnd"/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 xml:space="preserve"> </w:t>
      </w:r>
      <w:r w:rsidR="00271DC4">
        <w:rPr>
          <w:rStyle w:val="ra"/>
          <w:rFonts w:ascii="Arial Narrow" w:hAnsi="Arial Narrow" w:cstheme="minorHAnsi"/>
          <w:sz w:val="21"/>
          <w:szCs w:val="21"/>
        </w:rPr>
        <w:t>- konateľ</w:t>
      </w:r>
    </w:p>
    <w:p w14:paraId="65420332" w14:textId="7FF7F46F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 xml:space="preserve">IČO:                 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55291791</w:t>
      </w:r>
    </w:p>
    <w:p w14:paraId="30817F44" w14:textId="4BE250CC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DIČ: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2121937422</w:t>
      </w:r>
    </w:p>
    <w:p w14:paraId="72FC0EF8" w14:textId="664797C4" w:rsidR="00395844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IČ DPH: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SK2121937422</w:t>
      </w:r>
    </w:p>
    <w:p w14:paraId="7DE558FB" w14:textId="2B160C47" w:rsidR="00E36456" w:rsidRPr="00E36456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</w:t>
      </w:r>
      <w:r w:rsidR="00E90BEA">
        <w:rPr>
          <w:rFonts w:ascii="Arial Narrow" w:hAnsi="Arial Narrow"/>
          <w:sz w:val="21"/>
          <w:szCs w:val="21"/>
          <w:lang w:val="sk-SK"/>
        </w:rPr>
        <w:t xml:space="preserve">0904 </w:t>
      </w:r>
      <w:r w:rsidR="0047711E">
        <w:rPr>
          <w:rFonts w:ascii="Arial Narrow" w:hAnsi="Arial Narrow"/>
          <w:sz w:val="21"/>
          <w:szCs w:val="21"/>
          <w:lang w:val="sk-SK"/>
        </w:rPr>
        <w:t>338 969</w:t>
      </w:r>
    </w:p>
    <w:p w14:paraId="7EEE8218" w14:textId="2F942915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="00E90BEA">
        <w:rPr>
          <w:rFonts w:ascii="Arial Narrow" w:hAnsi="Arial Narrow"/>
          <w:sz w:val="21"/>
          <w:szCs w:val="21"/>
          <w:lang w:val="sk-SK"/>
        </w:rPr>
        <w:t>gamazsro@gmail.com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773B862D" w:rsidR="00012B3E" w:rsidRPr="00012B3E" w:rsidRDefault="00F42554" w:rsidP="003226FF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3226FF" w:rsidRPr="003226FF">
        <w:rPr>
          <w:rFonts w:ascii="Arial Narrow" w:hAnsi="Arial Narrow"/>
          <w:b/>
          <w:bCs/>
          <w:sz w:val="21"/>
          <w:szCs w:val="21"/>
          <w:lang w:val="sk-SK"/>
        </w:rPr>
        <w:t>PENZIÓN PRI MLYNE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bookmarkEnd w:id="0"/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, </w:t>
      </w:r>
      <w:r w:rsidRPr="00012B3E">
        <w:rPr>
          <w:rFonts w:ascii="Arial Narrow" w:hAnsi="Arial Narrow" w:cs="Times"/>
          <w:sz w:val="21"/>
          <w:szCs w:val="21"/>
          <w:lang w:val="sk-SK"/>
        </w:rPr>
        <w:t>ktoré</w:t>
      </w:r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12B3E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zhotovi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626D718D" w:rsidR="00F0059C" w:rsidRPr="00F0059C" w:rsidRDefault="009D4B43" w:rsidP="003226FF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obstarávaní na predmet zákazky </w:t>
      </w:r>
      <w:r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3226FF" w:rsidRPr="003226FF">
        <w:rPr>
          <w:rFonts w:ascii="Arial Narrow" w:hAnsi="Arial Narrow"/>
          <w:b/>
          <w:bCs/>
          <w:sz w:val="21"/>
          <w:szCs w:val="21"/>
          <w:lang w:val="sk-SK"/>
        </w:rPr>
        <w:t>PENZIÓN PRI MLYNE</w:t>
      </w:r>
      <w:r w:rsidRPr="009D4B43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4B75624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870A587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23AF8A49" w14:textId="1FDB480C" w:rsidR="00A82371" w:rsidRPr="00851E45" w:rsidRDefault="005204E2" w:rsidP="00851E45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82371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3226FF" w:rsidRPr="003226FF">
        <w:rPr>
          <w:rFonts w:ascii="Arial Narrow" w:hAnsi="Arial Narrow"/>
          <w:b/>
          <w:bCs/>
          <w:sz w:val="21"/>
          <w:szCs w:val="21"/>
          <w:lang w:val="sk-SK"/>
        </w:rPr>
        <w:t>PENZIÓN PRI MLYNE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2F39C8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2F39C8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2F39C8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110DB939" w:rsidR="00621B7E" w:rsidRPr="00621B7E" w:rsidRDefault="003226FF" w:rsidP="003226FF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>
        <w:rPr>
          <w:rFonts w:ascii="Arial Narrow" w:hAnsi="Arial Narrow" w:cs="Times"/>
          <w:sz w:val="21"/>
          <w:szCs w:val="21"/>
          <w:lang w:val="sk-SK"/>
        </w:rPr>
        <w:t xml:space="preserve">    </w:t>
      </w:r>
      <w:r w:rsidR="00A55D87"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r>
        <w:rPr>
          <w:rFonts w:ascii="Arial Narrow" w:hAnsi="Arial Narrow"/>
          <w:bCs/>
          <w:sz w:val="21"/>
          <w:szCs w:val="21"/>
          <w:lang w:val="sk-SK"/>
        </w:rPr>
        <w:t xml:space="preserve">kat. ú. Drienovec, </w:t>
      </w:r>
      <w:proofErr w:type="spellStart"/>
      <w:r w:rsidRPr="003226FF">
        <w:rPr>
          <w:rFonts w:ascii="Arial Narrow" w:hAnsi="Arial Narrow"/>
          <w:bCs/>
          <w:sz w:val="21"/>
          <w:szCs w:val="21"/>
          <w:lang w:val="sk-SK"/>
        </w:rPr>
        <w:t>parc</w:t>
      </w:r>
      <w:proofErr w:type="spellEnd"/>
      <w:r w:rsidRPr="003226FF">
        <w:rPr>
          <w:rFonts w:ascii="Arial Narrow" w:hAnsi="Arial Narrow"/>
          <w:bCs/>
          <w:sz w:val="21"/>
          <w:szCs w:val="21"/>
          <w:lang w:val="sk-SK"/>
        </w:rPr>
        <w:t>. č.: 408/2; 410/1; 411/1 okres Košice - okolie</w:t>
      </w:r>
      <w:r>
        <w:rPr>
          <w:rFonts w:ascii="Arial Narrow" w:hAnsi="Arial Narrow"/>
          <w:bCs/>
          <w:sz w:val="21"/>
          <w:szCs w:val="21"/>
          <w:lang w:val="sk-SK"/>
        </w:rPr>
        <w:t xml:space="preserve"> / </w:t>
      </w:r>
      <w:r w:rsidR="00A82371">
        <w:rPr>
          <w:rFonts w:ascii="Arial Narrow" w:hAnsi="Arial Narrow"/>
          <w:bCs/>
          <w:sz w:val="21"/>
          <w:szCs w:val="21"/>
          <w:lang w:val="sk-SK"/>
        </w:rPr>
        <w:t>podľa PD</w:t>
      </w:r>
    </w:p>
    <w:p w14:paraId="239F90F4" w14:textId="36CBA009" w:rsidR="009D4B43" w:rsidRPr="009D4B43" w:rsidRDefault="00457E62" w:rsidP="003226FF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B2CE4" w:rsidRP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výstavba 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ubytovacieho zariadenia podľa projektovej dokumentácie objednávateľa s názvom </w:t>
      </w:r>
      <w:r w:rsidR="003226FF" w:rsidRPr="003226FF">
        <w:rPr>
          <w:rFonts w:ascii="Arial Narrow" w:eastAsia="CIDFont+F6" w:hAnsi="Arial Narrow" w:cs="CIDFont+F6"/>
          <w:sz w:val="21"/>
          <w:szCs w:val="21"/>
          <w:lang w:val="sk-SK"/>
        </w:rPr>
        <w:t>PENZIÓN PRI MLYNE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b/>
          <w:bCs/>
          <w:sz w:val="21"/>
          <w:szCs w:val="21"/>
          <w:lang w:val="sk-SK"/>
        </w:rPr>
        <w:t>Informácie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o predmete zákazky:</w:t>
      </w:r>
    </w:p>
    <w:p w14:paraId="4F98DA2B" w14:textId="47AD0993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Názov projektu:</w:t>
      </w:r>
      <w:r w:rsidRPr="009D4B43">
        <w:rPr>
          <w:rFonts w:ascii="Arial Narrow" w:hAnsi="Arial Narrow" w:cs="Arial"/>
          <w:b/>
          <w:sz w:val="21"/>
          <w:szCs w:val="21"/>
          <w:lang w:val="sk-SK"/>
        </w:rPr>
        <w:tab/>
      </w:r>
      <w:r w:rsidR="003226FF" w:rsidRPr="003226FF">
        <w:rPr>
          <w:rFonts w:ascii="Arial Narrow" w:hAnsi="Arial Narrow"/>
          <w:sz w:val="21"/>
          <w:szCs w:val="21"/>
          <w:lang w:val="sk-SK"/>
        </w:rPr>
        <w:t>PENZIÓN PRI MLYNE</w:t>
      </w:r>
    </w:p>
    <w:p w14:paraId="35F6769B" w14:textId="60FDB5ED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535A33">
        <w:rPr>
          <w:rFonts w:ascii="Arial Narrow" w:hAnsi="Arial Narrow" w:cs="Arial"/>
          <w:b/>
          <w:sz w:val="21"/>
          <w:szCs w:val="21"/>
          <w:lang w:val="sk-SK"/>
        </w:rPr>
        <w:t>Poskytovateľ:</w:t>
      </w:r>
      <w:r w:rsidRPr="00535A33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  <w:r w:rsidR="00DB3F98" w:rsidRPr="00535A33">
        <w:rPr>
          <w:rFonts w:ascii="Arial Narrow" w:hAnsi="Arial Narrow" w:cs="Arial"/>
          <w:sz w:val="21"/>
          <w:szCs w:val="21"/>
          <w:lang w:val="sk-SK"/>
        </w:rPr>
        <w:t xml:space="preserve"> prostredníctvom MAS</w:t>
      </w:r>
    </w:p>
    <w:p w14:paraId="2DDAE398" w14:textId="77777777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Operačný program: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Pr="00535A33">
        <w:rPr>
          <w:rFonts w:ascii="Arial Narrow" w:hAnsi="Arial Narrow"/>
          <w:sz w:val="21"/>
          <w:szCs w:val="21"/>
          <w:lang w:val="sk-SK"/>
        </w:rPr>
        <w:t>Program rozvoja vidieka SR 2014-2022 (ďalej len „PRV”)</w:t>
      </w:r>
    </w:p>
    <w:p w14:paraId="09EFE2A5" w14:textId="0BF208D5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Opatrenie: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>6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Rozvoj poľnohospodárskych podnikov a podnikateľskej činnosti</w:t>
      </w:r>
    </w:p>
    <w:p w14:paraId="584F1969" w14:textId="0C24BDEE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proofErr w:type="spellStart"/>
      <w:r w:rsidRPr="00535A33">
        <w:rPr>
          <w:rFonts w:ascii="Arial Narrow" w:hAnsi="Arial Narrow"/>
          <w:b/>
          <w:sz w:val="21"/>
          <w:szCs w:val="21"/>
          <w:lang w:val="sk-SK"/>
        </w:rPr>
        <w:t>Podopatrenie</w:t>
      </w:r>
      <w:proofErr w:type="spellEnd"/>
      <w:r w:rsidRPr="00535A33">
        <w:rPr>
          <w:rFonts w:ascii="Arial Narrow" w:hAnsi="Arial Narrow"/>
          <w:b/>
          <w:sz w:val="21"/>
          <w:szCs w:val="21"/>
          <w:lang w:val="sk-SK"/>
        </w:rPr>
        <w:t>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 xml:space="preserve">6.4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 Podpora na investície do vytvárania a rozvoja nepoľnohospodárskych činností</w:t>
      </w:r>
    </w:p>
    <w:p w14:paraId="2F076DA0" w14:textId="77777777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Fond:</w:t>
      </w:r>
      <w:r w:rsidRPr="00535A33">
        <w:rPr>
          <w:rFonts w:ascii="Arial Narrow" w:hAnsi="Arial Narrow"/>
          <w:sz w:val="21"/>
          <w:szCs w:val="21"/>
          <w:lang w:val="sk-SK"/>
        </w:rPr>
        <w:tab/>
        <w:t>Európsky poľnohospodársky fond pre rozvoj vidieka: Európa investuje do vidieckych oblastí</w:t>
      </w:r>
    </w:p>
    <w:p w14:paraId="1451B963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6FDAE0C1" w:rsidR="000D390C" w:rsidRPr="0047711E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47711E">
        <w:rPr>
          <w:rFonts w:ascii="Arial Narrow" w:hAnsi="Arial Narrow" w:cs="Arial"/>
          <w:spacing w:val="8"/>
          <w:sz w:val="21"/>
          <w:szCs w:val="21"/>
          <w:u w:val="none"/>
        </w:rPr>
        <w:t>do</w:t>
      </w:r>
      <w:r w:rsidR="00AA5073" w:rsidRPr="0047711E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3226FF" w:rsidRPr="0047711E">
        <w:rPr>
          <w:rFonts w:ascii="Arial Narrow" w:hAnsi="Arial Narrow" w:cs="Arial"/>
          <w:spacing w:val="8"/>
          <w:sz w:val="21"/>
          <w:szCs w:val="21"/>
          <w:u w:val="none"/>
        </w:rPr>
        <w:t>4</w:t>
      </w:r>
      <w:r w:rsidR="000D390C" w:rsidRPr="0047711E">
        <w:rPr>
          <w:rFonts w:ascii="Arial Narrow" w:hAnsi="Arial Narrow" w:cs="Arial"/>
          <w:spacing w:val="8"/>
          <w:sz w:val="21"/>
          <w:szCs w:val="21"/>
          <w:u w:val="none"/>
        </w:rPr>
        <w:t xml:space="preserve"> mesiacov</w:t>
      </w:r>
      <w:r w:rsidR="00D25B47" w:rsidRPr="0047711E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D390C" w:rsidRPr="0047711E">
        <w:rPr>
          <w:rFonts w:ascii="Arial Narrow" w:hAnsi="Arial Narrow"/>
          <w:sz w:val="21"/>
          <w:szCs w:val="21"/>
          <w:u w:val="none"/>
        </w:rPr>
        <w:t>odo dňa odovzdania staveniska Objednávateľom a prevzatia staveniska</w:t>
      </w:r>
      <w:r w:rsidR="000D390C" w:rsidRPr="0047711E">
        <w:rPr>
          <w:rFonts w:ascii="Arial Narrow" w:hAnsi="Arial Narrow"/>
          <w:b w:val="0"/>
          <w:sz w:val="21"/>
          <w:szCs w:val="21"/>
          <w:u w:val="none"/>
        </w:rPr>
        <w:t xml:space="preserve"> </w:t>
      </w:r>
      <w:r w:rsidR="000D390C" w:rsidRPr="0047711E">
        <w:rPr>
          <w:rFonts w:ascii="Arial Narrow" w:hAnsi="Arial Narrow"/>
          <w:sz w:val="21"/>
          <w:szCs w:val="21"/>
          <w:u w:val="none"/>
        </w:rPr>
        <w:t>Zhotoviteľom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7E53E4FA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5DDCAB8B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Sadzba DPH a výška DPH:      </w:t>
      </w:r>
      <w:r w:rsidR="003226FF">
        <w:rPr>
          <w:rFonts w:ascii="Arial Narrow" w:hAnsi="Arial Narrow" w:cs="Arial"/>
          <w:b w:val="0"/>
          <w:sz w:val="21"/>
          <w:szCs w:val="21"/>
        </w:rPr>
        <w:t xml:space="preserve">                          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7A86D1A0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104ADD">
        <w:rPr>
          <w:rFonts w:ascii="Arial Narrow" w:hAnsi="Arial Narrow"/>
          <w:sz w:val="21"/>
          <w:szCs w:val="21"/>
          <w:lang w:val="sk-SK"/>
        </w:rPr>
        <w:t>mesačne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. </w:t>
      </w:r>
      <w:r w:rsidR="009B4E32" w:rsidRPr="009B4E32">
        <w:rPr>
          <w:rFonts w:ascii="Arial Narrow" w:hAnsi="Arial Narrow" w:cs="Times"/>
          <w:sz w:val="21"/>
          <w:szCs w:val="21"/>
          <w:lang w:val="sk-SK"/>
        </w:rPr>
        <w:t>Objednávateľ neposkytne zhotoviteľovi preddavok (zálohu)</w:t>
      </w:r>
      <w:r w:rsidR="009B4E32" w:rsidRPr="009B4E32">
        <w:rPr>
          <w:rFonts w:ascii="Arial Narrow" w:hAnsi="Arial Narrow"/>
          <w:sz w:val="21"/>
          <w:szCs w:val="21"/>
          <w:lang w:val="sk-SK"/>
        </w:rPr>
        <w:t>.</w:t>
      </w:r>
    </w:p>
    <w:p w14:paraId="1E333C31" w14:textId="448BBD2B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06936848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Predmet zákazky sa bude financovať formou bezhotovostného platobného styku v lehote splatnosti faktúr </w:t>
      </w:r>
      <w:r w:rsidR="003226FF">
        <w:rPr>
          <w:rFonts w:ascii="Arial Narrow" w:hAnsi="Arial Narrow"/>
          <w:b/>
          <w:bCs/>
          <w:sz w:val="21"/>
          <w:szCs w:val="21"/>
          <w:lang w:val="sk-SK"/>
        </w:rPr>
        <w:t>60</w:t>
      </w:r>
      <w:r w:rsidR="009B4E32" w:rsidRPr="009B4E32">
        <w:rPr>
          <w:rFonts w:ascii="Arial Narrow" w:hAnsi="Arial Narrow"/>
          <w:b/>
          <w:bCs/>
          <w:sz w:val="21"/>
          <w:szCs w:val="21"/>
          <w:lang w:val="sk-SK"/>
        </w:rPr>
        <w:t xml:space="preserve"> kalendárnych dní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1D2121D4" w14:textId="46F03C98" w:rsidR="00E36456" w:rsidRPr="0047711E" w:rsidRDefault="009D64A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14961C26" w14:textId="3156FC10" w:rsidR="00356A4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2FBBD332" w14:textId="77777777" w:rsidR="00F0059C" w:rsidRDefault="00F0059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494E74A" w14:textId="29119B0B" w:rsidR="003D17F3" w:rsidRPr="00A139C3" w:rsidRDefault="003D17F3" w:rsidP="00012B3E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7DBEBE9B" w14:textId="3FBE65AA" w:rsidR="003B5447" w:rsidRPr="00F0059C" w:rsidRDefault="003D17F3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6.7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prehlasuje, že vedením stavby so stálou prítomnos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 xml:space="preserve">ou poverí </w:t>
      </w:r>
      <w:r w:rsidR="008F2FCF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........................................</w:t>
      </w:r>
      <w:r w:rsidR="0010018B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lastRenderedPageBreak/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47711E">
        <w:rPr>
          <w:rFonts w:ascii="Arial Narrow" w:hAnsi="Arial Narrow" w:cs="Times"/>
          <w:sz w:val="21"/>
          <w:szCs w:val="21"/>
          <w:lang w:val="sk-SK"/>
        </w:rPr>
        <w:t>Zmluvné strany sa dohodli, že záru</w:t>
      </w:r>
      <w:r w:rsidRPr="0047711E">
        <w:rPr>
          <w:rFonts w:ascii="Arial Narrow" w:hAnsi="Arial Narrow" w:cs="TimesNewRoman"/>
          <w:sz w:val="21"/>
          <w:szCs w:val="21"/>
          <w:lang w:val="sk-SK"/>
        </w:rPr>
        <w:t>č</w:t>
      </w:r>
      <w:r w:rsidRPr="0047711E">
        <w:rPr>
          <w:rFonts w:ascii="Arial Narrow" w:hAnsi="Arial Narrow" w:cs="Times"/>
          <w:sz w:val="21"/>
          <w:szCs w:val="21"/>
          <w:lang w:val="sk-SK"/>
        </w:rPr>
        <w:t>ná doba na zrealizované dielo, bude trva</w:t>
      </w:r>
      <w:r w:rsidRPr="0047711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2E7F3D" w:rsidRPr="0047711E">
        <w:rPr>
          <w:rFonts w:ascii="Arial Narrow" w:hAnsi="Arial Narrow" w:cs="Times"/>
          <w:b/>
          <w:bCs/>
          <w:sz w:val="21"/>
          <w:szCs w:val="21"/>
          <w:lang w:val="sk-SK"/>
        </w:rPr>
        <w:t>60</w:t>
      </w:r>
      <w:r w:rsidRPr="0047711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mesiacov</w:t>
      </w:r>
      <w:r w:rsidRPr="0047711E">
        <w:rPr>
          <w:rFonts w:ascii="Arial Narrow" w:hAnsi="Arial Narrow" w:cs="Times"/>
          <w:sz w:val="21"/>
          <w:szCs w:val="21"/>
          <w:lang w:val="sk-SK"/>
        </w:rPr>
        <w:t>.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77777777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A139C3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A139C3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B27E2B" w:rsidRPr="00A139C3">
        <w:rPr>
          <w:rFonts w:ascii="Arial Narrow" w:hAnsi="Arial Narrow" w:cs="ArialNarrow"/>
          <w:sz w:val="21"/>
          <w:szCs w:val="21"/>
          <w:lang w:val="sk-SK"/>
        </w:rPr>
        <w:t xml:space="preserve">0,03% 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lastRenderedPageBreak/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99BC051" w14:textId="40847721" w:rsidR="00D87AEF" w:rsidRP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9.1.4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ab/>
        <w:t>V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prípade omeškania obj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ednávateľa s uhradením faktúr 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hradí objednávateľ zhotoviteľov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i úrok z omeškania vo výške 0,0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573C59" w:rsidRPr="00A139C3">
        <w:rPr>
          <w:rFonts w:ascii="Arial Narrow" w:hAnsi="Arial Narrow" w:cs="ArialNarrow"/>
          <w:sz w:val="21"/>
          <w:szCs w:val="21"/>
          <w:lang w:val="sk-SK"/>
        </w:rPr>
        <w:t xml:space="preserve"> % z dlžnej čiastky vrátane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DPH za každý deň omeškania.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1B1B8D19" w14:textId="75ADE635" w:rsidR="00E36456" w:rsidRPr="00A139C3" w:rsidRDefault="0080314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</w:t>
      </w:r>
      <w:r w:rsidR="00824AA7" w:rsidRPr="00A139C3">
        <w:rPr>
          <w:rFonts w:ascii="Arial Narrow" w:hAnsi="Arial Narrow" w:cs="Arial"/>
          <w:sz w:val="21"/>
          <w:szCs w:val="21"/>
        </w:rPr>
        <w:lastRenderedPageBreak/>
        <w:t>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1943EFA4" w14:textId="3A401B1D" w:rsidR="00DB3F98" w:rsidRPr="00DB3F98" w:rsidRDefault="00DB3F98" w:rsidP="00795FD3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 xml:space="preserve">V súlade s ustanoveniami § 42 ods. 12 zákona o verejnom obstarávaní a ustanoveniami § 8a zákona č. 365/2004 Z. z. o rovnakom zaobchádzaní v niektorých oblastiach a o ochrane pred diskrimináciou a o zmene a doplnení niektorých zákonov (antidiskriminačný zákon) sa zmluvné strany dohodli, že počas doby plnenia tejto zmluvy v prípade, ak zhotoviteľ bude potrebovať navýšiť svoje kapacity pre realizáciu danej zákazky, zhotoviteľ v takomto prípade zamestná na realizáciu predmetnej aktivity osoby dlhodobo nezamestnané v mieste realizácie zákazky (obec, okres, VÚC). Môže sa jednať o pracovný pomer na kratší pracovný čas, (či už dobu určitú, alebo neurčitú), o dohodu o prácach vykonávaných mimo pracovného pomeru a pod. </w:t>
      </w:r>
    </w:p>
    <w:p w14:paraId="4FF8B0BB" w14:textId="42BA252C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3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 xml:space="preserve">Pri hľadaní vhodných uchádzačov o zamestnanie poskytne objednávateľ zhotoviteľovi potrebnú súčinnosť. Splnenie podmienok uchádzačmi o zamestnanie sa zistí vyhlásením uchádzača. Splnenie podmienok uchádzačmi o zamestnanie potvrdí zhotoviteľovi objednávateľ. </w:t>
      </w:r>
    </w:p>
    <w:p w14:paraId="72CD4EFE" w14:textId="7A30D7E1" w:rsidR="00DB3F98" w:rsidRPr="00072FD9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4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Ak nie je objektívne možné nájsť uchádzača o zamestnanie spĺňajúceho všetky stanovené podmienky, zhotoviteľ je povinný o tomto bezodkladne písomne informovať objednávateľa.</w:t>
      </w:r>
    </w:p>
    <w:p w14:paraId="3A67AB82" w14:textId="77777777" w:rsidR="00851E45" w:rsidRDefault="00851E45" w:rsidP="0047711E">
      <w:pPr>
        <w:pStyle w:val="Zkladntext"/>
        <w:spacing w:after="0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7BEE3D" w14:textId="77777777" w:rsidR="005847C4" w:rsidRPr="0024160A" w:rsidRDefault="005847C4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bookmarkStart w:id="1" w:name="_GoBack"/>
      <w:bookmarkEnd w:id="1"/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lastRenderedPageBreak/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  <w:t xml:space="preserve">Príloha č. 2 - </w:t>
      </w:r>
      <w:r w:rsidRPr="0018688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2B6582FB" w14:textId="77777777" w:rsidR="0047711E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705E973F" w14:textId="77777777" w:rsidR="0047711E" w:rsidRPr="00186884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77DD3156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7BBAAE58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3BF5AC8" w14:textId="77777777" w:rsidR="0047711E" w:rsidRPr="00186884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F0A8B64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29241E8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E0BEB" w14:textId="77777777" w:rsidR="005665B1" w:rsidRDefault="005665B1">
      <w:r>
        <w:separator/>
      </w:r>
    </w:p>
  </w:endnote>
  <w:endnote w:type="continuationSeparator" w:id="0">
    <w:p w14:paraId="2C44F970" w14:textId="77777777" w:rsidR="005665B1" w:rsidRDefault="0056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5847C4" w:rsidRPr="005847C4">
          <w:rPr>
            <w:rFonts w:ascii="Arial Narrow" w:hAnsi="Arial Narrow"/>
            <w:noProof/>
            <w:lang w:val="sk-SK"/>
          </w:rPr>
          <w:t>8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6BE7" w14:textId="77777777" w:rsidR="005665B1" w:rsidRDefault="005665B1">
      <w:r>
        <w:separator/>
      </w:r>
    </w:p>
  </w:footnote>
  <w:footnote w:type="continuationSeparator" w:id="0">
    <w:p w14:paraId="116DC1B5" w14:textId="77777777" w:rsidR="005665B1" w:rsidRDefault="0056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56D85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26FF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7711E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65B1"/>
    <w:rsid w:val="00566EEB"/>
    <w:rsid w:val="005675FF"/>
    <w:rsid w:val="00573C59"/>
    <w:rsid w:val="00576211"/>
    <w:rsid w:val="005847C4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303B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5FD3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076"/>
    <w:rsid w:val="008342AE"/>
    <w:rsid w:val="00834FDD"/>
    <w:rsid w:val="008356F1"/>
    <w:rsid w:val="00835E54"/>
    <w:rsid w:val="008377F7"/>
    <w:rsid w:val="00841070"/>
    <w:rsid w:val="0084563F"/>
    <w:rsid w:val="00851E45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0BEA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E79"/>
    <w:rsid w:val="00EF6268"/>
    <w:rsid w:val="00F0059C"/>
    <w:rsid w:val="00F02B12"/>
    <w:rsid w:val="00F049A3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0C846-9EB1-49BE-9A10-D9EFBB87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4827</Words>
  <Characters>27516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16</cp:revision>
  <cp:lastPrinted>2024-05-20T17:28:00Z</cp:lastPrinted>
  <dcterms:created xsi:type="dcterms:W3CDTF">2024-05-13T11:48:00Z</dcterms:created>
  <dcterms:modified xsi:type="dcterms:W3CDTF">2024-12-10T20:26:00Z</dcterms:modified>
</cp:coreProperties>
</file>