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A972F8" w14:textId="77777777" w:rsidR="00FA2271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18826B" w14:textId="74BA645E" w:rsidR="00FA2271" w:rsidRPr="00E27842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23153943" w14:textId="77777777" w:rsidR="007C4BD7" w:rsidRPr="00586D8D" w:rsidRDefault="007C4BD7" w:rsidP="007C4BD7">
      <w:pPr>
        <w:spacing w:before="120"/>
        <w:ind w:left="142"/>
        <w:jc w:val="both"/>
        <w:rPr>
          <w:rFonts w:ascii="Cambria" w:hAnsi="Cambria" w:cs="Arial"/>
          <w:bCs/>
          <w:color w:val="0D0D0D" w:themeColor="text1" w:themeTint="F2"/>
          <w:sz w:val="22"/>
          <w:szCs w:val="22"/>
        </w:rPr>
      </w:pPr>
      <w:bookmarkStart w:id="0" w:name="_GoBack"/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 xml:space="preserve">Załącznik nr 2.1. – 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ab/>
        <w:t xml:space="preserve">planowany rozmiar prac; </w:t>
      </w:r>
    </w:p>
    <w:p w14:paraId="00427DD6" w14:textId="77777777" w:rsidR="007C4BD7" w:rsidRPr="00586D8D" w:rsidRDefault="007C4BD7" w:rsidP="007C4BD7">
      <w:pPr>
        <w:spacing w:before="120"/>
        <w:ind w:left="142"/>
        <w:jc w:val="both"/>
        <w:rPr>
          <w:rFonts w:ascii="Cambria" w:hAnsi="Cambria" w:cs="Arial"/>
          <w:bCs/>
          <w:color w:val="0D0D0D" w:themeColor="text1" w:themeTint="F2"/>
          <w:sz w:val="22"/>
          <w:szCs w:val="22"/>
        </w:rPr>
      </w:pP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Załącznik nr 2.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>2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 xml:space="preserve">.1. – 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ab/>
        <w:t>charakterystyka leśnictwa w zakresie pozyskania drewna;</w:t>
      </w:r>
    </w:p>
    <w:p w14:paraId="11E21A97" w14:textId="77777777" w:rsidR="007C4BD7" w:rsidRDefault="007C4BD7" w:rsidP="007C4BD7">
      <w:pPr>
        <w:spacing w:before="120"/>
        <w:ind w:left="142"/>
        <w:jc w:val="both"/>
        <w:rPr>
          <w:rFonts w:ascii="Cambria" w:hAnsi="Cambria" w:cs="Arial"/>
          <w:bCs/>
          <w:color w:val="0D0D0D" w:themeColor="text1" w:themeTint="F2"/>
          <w:sz w:val="22"/>
          <w:szCs w:val="22"/>
        </w:rPr>
      </w:pP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Załącznik nr 2.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>2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 xml:space="preserve">.2. – 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ab/>
        <w:t>układ sortymentowy pozyskania drewna w leśnictwie;</w:t>
      </w:r>
    </w:p>
    <w:p w14:paraId="2A22CDE7" w14:textId="77777777" w:rsidR="007C4BD7" w:rsidRDefault="007C4BD7" w:rsidP="007C4BD7">
      <w:pPr>
        <w:spacing w:before="120"/>
        <w:ind w:left="142"/>
        <w:jc w:val="both"/>
        <w:rPr>
          <w:rFonts w:ascii="Cambria" w:hAnsi="Cambria" w:cs="Arial"/>
          <w:bCs/>
          <w:color w:val="0D0D0D" w:themeColor="text1" w:themeTint="F2"/>
          <w:sz w:val="22"/>
          <w:szCs w:val="22"/>
        </w:rPr>
      </w:pP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Załącznik nr 2.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>2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>3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 xml:space="preserve">. – 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ab/>
      </w:r>
      <w:r w:rsidRPr="001F5F1A">
        <w:rPr>
          <w:rFonts w:ascii="Cambria" w:hAnsi="Cambria" w:cs="Arial"/>
          <w:bCs/>
          <w:color w:val="0D0D0D" w:themeColor="text1" w:themeTint="F2"/>
          <w:sz w:val="22"/>
          <w:szCs w:val="22"/>
        </w:rPr>
        <w:t>Informacja o optymalnym wariancie pozyskania drewna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;</w:t>
      </w:r>
    </w:p>
    <w:p w14:paraId="1441DDDC" w14:textId="77777777" w:rsidR="007C4BD7" w:rsidRDefault="007C4BD7" w:rsidP="007C4BD7">
      <w:pPr>
        <w:spacing w:before="120"/>
        <w:ind w:left="142"/>
        <w:jc w:val="both"/>
        <w:rPr>
          <w:rFonts w:ascii="Cambria" w:hAnsi="Cambria" w:cs="Arial"/>
          <w:bCs/>
          <w:color w:val="0D0D0D" w:themeColor="text1" w:themeTint="F2"/>
          <w:sz w:val="22"/>
          <w:szCs w:val="22"/>
        </w:rPr>
      </w:pP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Załącznik nr 2.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>2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 xml:space="preserve">4 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–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 xml:space="preserve"> Z</w:t>
      </w:r>
      <w:r w:rsidRPr="001F5F1A">
        <w:rPr>
          <w:rFonts w:ascii="Cambria" w:hAnsi="Cambria" w:cs="Arial"/>
          <w:bCs/>
          <w:color w:val="0D0D0D" w:themeColor="text1" w:themeTint="F2"/>
          <w:sz w:val="22"/>
          <w:szCs w:val="22"/>
        </w:rPr>
        <w:t>estawienie pozycji z dodatkowymi utrudnieniami w zakresie pozyskania i zrywki drewna</w:t>
      </w:r>
    </w:p>
    <w:p w14:paraId="3DE8FCCA" w14:textId="77777777" w:rsidR="007C4BD7" w:rsidRDefault="007C4BD7" w:rsidP="007C4BD7">
      <w:pPr>
        <w:spacing w:before="120"/>
        <w:ind w:left="142"/>
        <w:jc w:val="both"/>
        <w:rPr>
          <w:rFonts w:ascii="Cambria" w:hAnsi="Cambria" w:cs="Arial"/>
          <w:bCs/>
          <w:color w:val="0D0D0D" w:themeColor="text1" w:themeTint="F2"/>
          <w:sz w:val="22"/>
          <w:szCs w:val="22"/>
        </w:rPr>
      </w:pP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Załącznik nr 2.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>2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>.</w:t>
      </w:r>
      <w:r>
        <w:rPr>
          <w:rFonts w:ascii="Cambria" w:hAnsi="Cambria" w:cs="Arial"/>
          <w:bCs/>
          <w:color w:val="0D0D0D" w:themeColor="text1" w:themeTint="F2"/>
          <w:sz w:val="22"/>
          <w:szCs w:val="22"/>
        </w:rPr>
        <w:t>5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 xml:space="preserve">. – </w:t>
      </w:r>
      <w:r w:rsidRPr="00586D8D">
        <w:rPr>
          <w:rFonts w:ascii="Cambria" w:hAnsi="Cambria" w:cs="Arial"/>
          <w:bCs/>
          <w:color w:val="0D0D0D" w:themeColor="text1" w:themeTint="F2"/>
          <w:sz w:val="22"/>
          <w:szCs w:val="22"/>
        </w:rPr>
        <w:tab/>
        <w:t>informacja o optymalnej technologii pozyskania drewna (potencjał);</w:t>
      </w:r>
      <w:bookmarkEnd w:id="0"/>
    </w:p>
    <w:sectPr w:rsidR="007C4BD7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7B1E1" w14:textId="77777777" w:rsidR="0077102A" w:rsidRDefault="0077102A">
      <w:r>
        <w:separator/>
      </w:r>
    </w:p>
  </w:endnote>
  <w:endnote w:type="continuationSeparator" w:id="0">
    <w:p w14:paraId="6F7C655D" w14:textId="77777777" w:rsidR="0077102A" w:rsidRDefault="0077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3D80DA5C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4BD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4EE3B68E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4B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47783" w14:textId="77777777" w:rsidR="0077102A" w:rsidRDefault="0077102A">
      <w:r>
        <w:separator/>
      </w:r>
    </w:p>
  </w:footnote>
  <w:footnote w:type="continuationSeparator" w:id="0">
    <w:p w14:paraId="56650A38" w14:textId="77777777" w:rsidR="0077102A" w:rsidRDefault="00771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549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1C2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1014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7FB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41B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5C0E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02A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BD7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707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5C19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53AE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43BE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81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2C5"/>
    <w:rsid w:val="00DA184F"/>
    <w:rsid w:val="00DA27D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25C0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1EEF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2271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E1D10-2510-45E6-A45A-B83B99A7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3</cp:revision>
  <cp:lastPrinted>2017-05-23T10:32:00Z</cp:lastPrinted>
  <dcterms:created xsi:type="dcterms:W3CDTF">2024-12-10T08:37:00Z</dcterms:created>
  <dcterms:modified xsi:type="dcterms:W3CDTF">2024-12-11T13:54:00Z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