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27304" w14:textId="77777777" w:rsidR="001D1E60" w:rsidRPr="00B6244B" w:rsidRDefault="001D1E60" w:rsidP="001D1E60">
      <w:pPr>
        <w:spacing w:before="0" w:after="240"/>
        <w:jc w:val="right"/>
        <w:rPr>
          <w:b/>
          <w:bCs/>
          <w:sz w:val="21"/>
          <w:szCs w:val="21"/>
        </w:rPr>
      </w:pPr>
      <w:r>
        <w:rPr>
          <w:rFonts w:cstheme="minorHAnsi"/>
          <w:b/>
          <w:color w:val="00000A"/>
          <w:sz w:val="21"/>
          <w:szCs w:val="21"/>
        </w:rPr>
        <w:t xml:space="preserve">Príloha č. 1 – </w:t>
      </w:r>
      <w:r w:rsidRPr="00B6244B">
        <w:rPr>
          <w:rFonts w:cstheme="minorHAnsi"/>
          <w:b/>
          <w:color w:val="00000A"/>
          <w:sz w:val="21"/>
          <w:szCs w:val="21"/>
        </w:rPr>
        <w:t>Opis predmetu zákazky</w:t>
      </w:r>
    </w:p>
    <w:p w14:paraId="560A75DC" w14:textId="765A37F2" w:rsidR="00A228F1" w:rsidRPr="00787D88" w:rsidRDefault="00A228F1" w:rsidP="00A228F1">
      <w:pPr>
        <w:pStyle w:val="OPZSubtitle"/>
      </w:pPr>
      <w:r w:rsidRPr="00787D88">
        <w:t>Verejný obstarávateľ:</w:t>
      </w:r>
    </w:p>
    <w:p w14:paraId="6A5866FD" w14:textId="77777777" w:rsidR="00A228F1" w:rsidRPr="00787D88" w:rsidRDefault="00A228F1" w:rsidP="00E51E00">
      <w:r w:rsidRPr="00787D88">
        <w:t>Národná agentúra pre sieťové a elektronické služby</w:t>
      </w:r>
    </w:p>
    <w:p w14:paraId="5C73F198" w14:textId="77777777" w:rsidR="00A228F1" w:rsidRPr="00787D88" w:rsidRDefault="00A228F1" w:rsidP="00E17339">
      <w:pPr>
        <w:pStyle w:val="OPZSubtitle"/>
      </w:pPr>
      <w:r w:rsidRPr="00787D88">
        <w:t xml:space="preserve">Názov zákazky: </w:t>
      </w:r>
    </w:p>
    <w:p w14:paraId="67082D75" w14:textId="784630D7" w:rsidR="00A228F1" w:rsidRPr="00787D88" w:rsidRDefault="00296ECC" w:rsidP="00E51E00">
      <w:r w:rsidRPr="00296ECC">
        <w:t>Centrálna elektronická podateľňa 3.0</w:t>
      </w:r>
    </w:p>
    <w:p w14:paraId="3FC4C828" w14:textId="77777777" w:rsidR="00A228F1" w:rsidRPr="00787D88" w:rsidRDefault="00A228F1" w:rsidP="00E17339">
      <w:pPr>
        <w:pStyle w:val="OPZSubtitle"/>
      </w:pPr>
      <w:r w:rsidRPr="00787D88">
        <w:t>TRVANIE:</w:t>
      </w:r>
    </w:p>
    <w:p w14:paraId="7B3F7A86" w14:textId="65DCC871" w:rsidR="00A228F1" w:rsidRPr="00787D88" w:rsidRDefault="00A228F1" w:rsidP="00E51E00">
      <w:r w:rsidRPr="00787D88">
        <w:t xml:space="preserve">Lehota dodania je </w:t>
      </w:r>
      <w:r w:rsidR="3C476804" w:rsidRPr="00787D88">
        <w:t xml:space="preserve">do </w:t>
      </w:r>
      <w:r w:rsidR="00D15907">
        <w:t>31</w:t>
      </w:r>
      <w:r w:rsidRPr="00787D88">
        <w:t>.0</w:t>
      </w:r>
      <w:r w:rsidR="00D15907">
        <w:t>1</w:t>
      </w:r>
      <w:r w:rsidRPr="00787D88">
        <w:t>.2026.</w:t>
      </w:r>
    </w:p>
    <w:p w14:paraId="4D4C5845" w14:textId="77777777" w:rsidR="00A228F1" w:rsidRPr="00787D88" w:rsidRDefault="00A228F1" w:rsidP="00E17339">
      <w:pPr>
        <w:pStyle w:val="OPZSubtitle"/>
      </w:pPr>
      <w:r w:rsidRPr="00787D88">
        <w:t>KOMPLEXNOSŤ:</w:t>
      </w:r>
    </w:p>
    <w:p w14:paraId="04E336FF" w14:textId="5A32CD6D" w:rsidR="00A228F1" w:rsidRPr="00787D88" w:rsidRDefault="00A228F1" w:rsidP="00E51E00">
      <w:r w:rsidRPr="00787D88">
        <w:t>Uchádzač je povinný predložiť ponuku na celý predmet zákazky, vrátane všetkých súvisiacich nákladov a</w:t>
      </w:r>
      <w:r w:rsidR="00FF0B84">
        <w:t> </w:t>
      </w:r>
      <w:r w:rsidRPr="00787D88">
        <w:t>licencií.</w:t>
      </w:r>
    </w:p>
    <w:p w14:paraId="2897AF4B" w14:textId="3CDF97FD" w:rsidR="002F2498" w:rsidRPr="00787D88" w:rsidRDefault="002F2498" w:rsidP="00E51E00">
      <w:pPr>
        <w:pStyle w:val="OPZSubtitle"/>
      </w:pPr>
      <w:r w:rsidRPr="00787D88">
        <w:rPr>
          <w:lang w:eastAsia="sk-SK"/>
        </w:rPr>
        <w:t>Špecifikácia zákazky:</w:t>
      </w:r>
    </w:p>
    <w:p w14:paraId="69D52E40" w14:textId="22655FDE" w:rsidR="00A228F1" w:rsidRPr="00787D88" w:rsidRDefault="00A228F1" w:rsidP="00E51E00">
      <w:pPr>
        <w:ind w:right="-28"/>
      </w:pPr>
      <w:r w:rsidRPr="00787D88">
        <w:t>Ústredný portál verejnej správy</w:t>
      </w:r>
      <w:r w:rsidR="009B21F7" w:rsidRPr="00787D88">
        <w:t xml:space="preserve"> (ďalej aj ako „ÚPVS“)</w:t>
      </w:r>
      <w:r w:rsidRPr="00787D88">
        <w:t xml:space="preserve"> zabezpečuje centrálny a</w:t>
      </w:r>
      <w:r w:rsidR="003F6499" w:rsidRPr="00787D88">
        <w:t> </w:t>
      </w:r>
      <w:r w:rsidRPr="00787D88">
        <w:t>jednotný prístup k informáciám a službám verejnej správy. Správcom ÚPVS je v</w:t>
      </w:r>
      <w:r w:rsidR="003F6499" w:rsidRPr="00787D88">
        <w:t> </w:t>
      </w:r>
      <w:r w:rsidRPr="00787D88">
        <w:t xml:space="preserve">zmysle § 6 </w:t>
      </w:r>
      <w:r w:rsidR="004116B8" w:rsidRPr="00787D88">
        <w:t>zákona č. 305/2013 Z. z. o elektronickej podobe výkonu pôsobnosti orgánov verejnej moci a o zmene a doplnení niektorých zákonov v znení neskorších predpisov (ďalej aj ako „zákon o e-Governmente")</w:t>
      </w:r>
      <w:r w:rsidRPr="00787D88">
        <w:t xml:space="preserve"> </w:t>
      </w:r>
      <w:r w:rsidR="003F6499" w:rsidRPr="00787D88">
        <w:t xml:space="preserve">Ministerstvo investícií, regionálneho rozvoja a informatizácie Slovenskej republiky (ďalej aj ako </w:t>
      </w:r>
      <w:r w:rsidR="006B2ECD" w:rsidRPr="00787D88">
        <w:t>„</w:t>
      </w:r>
      <w:r w:rsidR="003F6499" w:rsidRPr="00787D88">
        <w:t>MIRRI SR</w:t>
      </w:r>
      <w:r w:rsidR="006B2ECD" w:rsidRPr="00787D88">
        <w:t>“</w:t>
      </w:r>
      <w:r w:rsidR="003F6499" w:rsidRPr="00787D88">
        <w:t>)</w:t>
      </w:r>
      <w:r w:rsidRPr="00787D88">
        <w:t xml:space="preserve">. Prevádzkovateľom ÚVPS je </w:t>
      </w:r>
      <w:r w:rsidR="00D27C57" w:rsidRPr="00787D88">
        <w:t>Národná agentúra pre sieťové a elektronické služby (ďalej aj ako „NASES“)</w:t>
      </w:r>
      <w:r w:rsidRPr="00787D88">
        <w:t>, ktorá na</w:t>
      </w:r>
      <w:r w:rsidR="006B2ECD" w:rsidRPr="00787D88">
        <w:t> </w:t>
      </w:r>
      <w:r w:rsidRPr="00787D88">
        <w:t>základe svojho štatútu plní úlohy vyplývajúce z § 10 zákona č.</w:t>
      </w:r>
      <w:r w:rsidR="00D27C57" w:rsidRPr="00787D88">
        <w:t> </w:t>
      </w:r>
      <w:r w:rsidRPr="00787D88">
        <w:t>575/2001 Z.</w:t>
      </w:r>
      <w:r w:rsidR="006B2ECD" w:rsidRPr="00787D88">
        <w:t> </w:t>
      </w:r>
      <w:r w:rsidRPr="00787D88">
        <w:t>z. o organizácii činnosti vlády a</w:t>
      </w:r>
      <w:r w:rsidR="006B2ECD" w:rsidRPr="00787D88">
        <w:t> </w:t>
      </w:r>
      <w:r w:rsidRPr="00787D88">
        <w:t>organizácii ústrednej štátnej správy a zo zákona č.</w:t>
      </w:r>
      <w:r w:rsidR="00D27C57" w:rsidRPr="00787D88">
        <w:t> </w:t>
      </w:r>
      <w:r w:rsidRPr="00787D88">
        <w:t>95/2019 Z.</w:t>
      </w:r>
      <w:r w:rsidR="006B2ECD" w:rsidRPr="00787D88">
        <w:t> </w:t>
      </w:r>
      <w:r w:rsidRPr="00787D88">
        <w:t>z. o informačných technológiách vo</w:t>
      </w:r>
      <w:r w:rsidR="006B2ECD" w:rsidRPr="00787D88">
        <w:t> </w:t>
      </w:r>
      <w:r w:rsidRPr="00787D88">
        <w:t>verejnej správe a o zmene a doplnení niektorých zákonov</w:t>
      </w:r>
      <w:r w:rsidR="004116B8" w:rsidRPr="00787D88">
        <w:t xml:space="preserve"> v znení neskorších predpisov</w:t>
      </w:r>
      <w:r w:rsidRPr="00787D88">
        <w:t>.</w:t>
      </w:r>
    </w:p>
    <w:p w14:paraId="268CE5D0" w14:textId="4F4EB2C5" w:rsidR="003A2602" w:rsidRPr="00DB1BC0" w:rsidRDefault="003A2602" w:rsidP="003A2602">
      <w:pPr>
        <w:pStyle w:val="OPZText"/>
      </w:pPr>
      <w:r w:rsidRPr="00DB1BC0">
        <w:t>Centrálna elektronická podateľňa</w:t>
      </w:r>
      <w:r w:rsidR="009A38F9" w:rsidRPr="00DB1BC0">
        <w:t xml:space="preserve"> (ďalej aj ako „CEP“)</w:t>
      </w:r>
      <w:r w:rsidRPr="00DB1BC0">
        <w:t xml:space="preserve"> má umožniť služby pre bezpečnú komunikáciu medzi občanmi, podnikateľmi a verejnou správou. Slúžiť má na potvrdzovanie prijatia doručených elektronických správ, validáciu autorizácií, vytváranie kvalifikovaných pečatí, predlžovanie dôveryhodnosti podpisov a ďalšie pomocné činnosti. Tiež má poskytnúť služby pre podporu zabezpečenia dôvernosti a integrity komunikácie. </w:t>
      </w:r>
    </w:p>
    <w:p w14:paraId="06593189" w14:textId="51CCDA5E" w:rsidR="003A2602" w:rsidRPr="00DB1BC0" w:rsidRDefault="003A2602" w:rsidP="003A2602">
      <w:pPr>
        <w:pStyle w:val="OPZText"/>
        <w:rPr>
          <w:color w:val="auto"/>
          <w:szCs w:val="22"/>
        </w:rPr>
      </w:pPr>
      <w:r w:rsidRPr="00DB1BC0">
        <w:rPr>
          <w:color w:val="auto"/>
          <w:szCs w:val="22"/>
        </w:rPr>
        <w:t>Tento systém musí byť navrhnutý tak, aby spĺňal vysoké štandardy bezpečnosti a spoľahlivosti, pričom umožňuje efektívne vytvárať a overovať elektronické podpisy, pečate a časové pečiatky. CEP overuje a zaisťuje integritu a právnu záväznosť elektronických podpisov (pečatí) dokumentov v súlade s platnou legislatívou a</w:t>
      </w:r>
      <w:r w:rsidR="0050562A" w:rsidRPr="00DB1BC0">
        <w:rPr>
          <w:color w:val="auto"/>
          <w:szCs w:val="22"/>
        </w:rPr>
        <w:t> </w:t>
      </w:r>
      <w:r w:rsidRPr="00DB1BC0">
        <w:rPr>
          <w:color w:val="auto"/>
          <w:szCs w:val="22"/>
        </w:rPr>
        <w:t xml:space="preserve">medzinárodnými normami, najmä Nariadením </w:t>
      </w:r>
      <w:proofErr w:type="spellStart"/>
      <w:r w:rsidRPr="00DB1BC0">
        <w:rPr>
          <w:color w:val="auto"/>
          <w:szCs w:val="22"/>
        </w:rPr>
        <w:t>eIDAS</w:t>
      </w:r>
      <w:proofErr w:type="spellEnd"/>
      <w:r w:rsidRPr="00DB1BC0">
        <w:rPr>
          <w:color w:val="auto"/>
          <w:szCs w:val="22"/>
        </w:rPr>
        <w:t>.</w:t>
      </w:r>
      <w:r w:rsidR="009673D4" w:rsidRPr="00DB1BC0">
        <w:rPr>
          <w:color w:val="auto"/>
          <w:szCs w:val="22"/>
        </w:rPr>
        <w:t xml:space="preserve"> </w:t>
      </w:r>
    </w:p>
    <w:p w14:paraId="49026BDA" w14:textId="6014E37A" w:rsidR="003A2602" w:rsidRPr="00DB1BC0" w:rsidRDefault="003A2602" w:rsidP="003A2602">
      <w:pPr>
        <w:pStyle w:val="OPZText"/>
        <w:rPr>
          <w:color w:val="auto"/>
          <w:szCs w:val="22"/>
        </w:rPr>
      </w:pPr>
      <w:r w:rsidRPr="00DB1BC0">
        <w:rPr>
          <w:color w:val="auto"/>
          <w:szCs w:val="22"/>
        </w:rPr>
        <w:t>Celkovo má slúžiť na zjednodušenie a</w:t>
      </w:r>
      <w:r w:rsidR="00F01C24">
        <w:rPr>
          <w:color w:val="auto"/>
          <w:szCs w:val="22"/>
        </w:rPr>
        <w:t> </w:t>
      </w:r>
      <w:r w:rsidRPr="00DB1BC0">
        <w:rPr>
          <w:color w:val="auto"/>
          <w:szCs w:val="22"/>
        </w:rPr>
        <w:t>zefektívnenie práce s elektronickými podpismi v rámci elektronickej verejnej správy a zosúladenie s platnou legislatívou.</w:t>
      </w:r>
      <w:r w:rsidR="00E6395E" w:rsidRPr="00DB1BC0">
        <w:rPr>
          <w:color w:val="auto"/>
          <w:szCs w:val="22"/>
        </w:rPr>
        <w:t xml:space="preserve"> </w:t>
      </w:r>
      <w:r w:rsidRPr="00DB1BC0">
        <w:rPr>
          <w:color w:val="auto"/>
          <w:szCs w:val="22"/>
        </w:rPr>
        <w:t xml:space="preserve">Je kladený dôraz na vysokú dostupnosť a kvalitu služieb, ich rozšíriteľnosť bez nutnosti komplikovanej úpravy na strane integrujúcich sa subjektov a centrálnych blokov. Služby je nutné vedieť jednoducho škálovať, konfigurovať a dopĺňať. </w:t>
      </w:r>
    </w:p>
    <w:p w14:paraId="12A1C68F" w14:textId="7ED6AC06" w:rsidR="00D27C57" w:rsidRPr="00787D88" w:rsidRDefault="00D27C57" w:rsidP="00A81945">
      <w:r w:rsidRPr="00787D88">
        <w:t xml:space="preserve">Na základe priameho vyzvania kód: 17I01-04-P28 podľa § 12 ods. 1 písmeno c) a § 13 ods. 1 zákona č. 368/2021 Z. z. o mechanizme na podporu obnovy a odolnosti a o zmene a doplnení niektorých zákonov v rámci programu Slovensko 3.0, realizuje NASES verejné obstarávanie zákazky s názvom </w:t>
      </w:r>
      <w:r w:rsidRPr="00787D88">
        <w:rPr>
          <w:b/>
          <w:bCs/>
          <w:color w:val="00000A"/>
        </w:rPr>
        <w:t>„</w:t>
      </w:r>
      <w:r w:rsidR="007B21CE" w:rsidRPr="007B21CE">
        <w:rPr>
          <w:b/>
          <w:bCs/>
          <w:color w:val="00000A"/>
        </w:rPr>
        <w:t>Centrálna elektronická podateľňa 3.0</w:t>
      </w:r>
      <w:r w:rsidRPr="00787D88">
        <w:rPr>
          <w:b/>
          <w:bCs/>
          <w:color w:val="00000A"/>
        </w:rPr>
        <w:t xml:space="preserve">“ </w:t>
      </w:r>
      <w:r w:rsidRPr="00787D88">
        <w:t>(ďalej aj ako „projekt“ alebo „dielo“ alebo „informačný systém“).</w:t>
      </w:r>
      <w:r w:rsidR="00A0669C">
        <w:t xml:space="preserve"> </w:t>
      </w:r>
    </w:p>
    <w:p w14:paraId="604C0052" w14:textId="1B1B0323" w:rsidR="00A228F1" w:rsidRPr="00787D88" w:rsidRDefault="006560D7" w:rsidP="00EF7175">
      <w:pPr>
        <w:pStyle w:val="OPZSubtitle"/>
      </w:pPr>
      <w:r w:rsidRPr="00787D88">
        <w:t xml:space="preserve">špecifikácia </w:t>
      </w:r>
      <w:r w:rsidR="00A228F1" w:rsidRPr="00787D88">
        <w:t>Predmet</w:t>
      </w:r>
      <w:r w:rsidRPr="00787D88">
        <w:t>u</w:t>
      </w:r>
      <w:r w:rsidR="00A228F1" w:rsidRPr="00787D88">
        <w:t xml:space="preserve"> </w:t>
      </w:r>
      <w:r w:rsidR="001061CA" w:rsidRPr="00787D88">
        <w:t>zákazky</w:t>
      </w:r>
    </w:p>
    <w:p w14:paraId="0D54478A" w14:textId="46C3AEC9" w:rsidR="00180ACB" w:rsidRPr="00787D88" w:rsidRDefault="00180ACB" w:rsidP="006560D7">
      <w:pPr>
        <w:rPr>
          <w:rFonts w:eastAsia="Times New Roman" w:cs="Arial"/>
          <w:lang w:eastAsia="sk-SK"/>
        </w:rPr>
      </w:pPr>
      <w:r w:rsidRPr="00787D88">
        <w:t>Predmetom zákazky je poskytnutie služieb, súvisiacich s vytvorením a dodaním softvérového diela s </w:t>
      </w:r>
      <w:r w:rsidRPr="00C6214A">
        <w:t xml:space="preserve">funkcionalitou </w:t>
      </w:r>
      <w:r w:rsidR="00435CA0" w:rsidRPr="00C6214A">
        <w:t>komplexného systému určeného na prácu s elektronickými podpismi a potvrdzovani</w:t>
      </w:r>
      <w:r w:rsidR="005F2561" w:rsidRPr="00C6214A">
        <w:t>a</w:t>
      </w:r>
      <w:r w:rsidR="00435CA0" w:rsidRPr="00C6214A">
        <w:t xml:space="preserve"> prijatia správy doručenej orgánu verejnej moci</w:t>
      </w:r>
      <w:r w:rsidR="00FF0064" w:rsidRPr="00C6214A">
        <w:t>,</w:t>
      </w:r>
      <w:r w:rsidRPr="00C6214A">
        <w:t xml:space="preserve"> vrátane</w:t>
      </w:r>
      <w:r w:rsidRPr="00787D88">
        <w:t xml:space="preserve"> inštalačných a konfiguračných prác</w:t>
      </w:r>
      <w:r w:rsidR="00326375" w:rsidRPr="00787D88">
        <w:t xml:space="preserve"> pre</w:t>
      </w:r>
      <w:r w:rsidR="00FF0064">
        <w:t xml:space="preserve"> </w:t>
      </w:r>
      <w:r w:rsidR="00326375" w:rsidRPr="00787D88">
        <w:t>dve (produkčné a</w:t>
      </w:r>
      <w:r w:rsidR="00FF0064">
        <w:t> </w:t>
      </w:r>
      <w:r w:rsidR="00326375" w:rsidRPr="00787D88">
        <w:t>testovacie) prevádzkové prostredia NASES</w:t>
      </w:r>
      <w:r w:rsidRPr="00787D88">
        <w:t xml:space="preserve"> a zabezpečením podpory a údržby riadne prevzatého softvérového diela po dobu 60 mesiacov od</w:t>
      </w:r>
      <w:r w:rsidR="00FF0064">
        <w:t xml:space="preserve"> </w:t>
      </w:r>
      <w:r w:rsidRPr="00787D88">
        <w:t>prevzatia poslednej časti diela,</w:t>
      </w:r>
      <w:r w:rsidRPr="00787D88" w:rsidDel="00BA1D63">
        <w:t xml:space="preserve"> </w:t>
      </w:r>
      <w:r w:rsidRPr="00787D88">
        <w:t>v zmysle tohto Opisu predmetu zákazky</w:t>
      </w:r>
      <w:r w:rsidR="0023711A" w:rsidRPr="00872948">
        <w:t>,</w:t>
      </w:r>
      <w:r w:rsidRPr="00872948">
        <w:t xml:space="preserve"> Prílohy č. </w:t>
      </w:r>
      <w:r w:rsidR="00D25A2B">
        <w:t>18</w:t>
      </w:r>
      <w:r w:rsidRPr="00872948">
        <w:t xml:space="preserve"> </w:t>
      </w:r>
      <w:r w:rsidR="007D4B47" w:rsidRPr="00872948">
        <w:t>„</w:t>
      </w:r>
      <w:r w:rsidRPr="00872948">
        <w:t xml:space="preserve">Katalóg požiadaviek </w:t>
      </w:r>
      <w:r w:rsidR="00C20729" w:rsidRPr="00872948">
        <w:t>–</w:t>
      </w:r>
      <w:r w:rsidRPr="00872948">
        <w:t xml:space="preserve"> </w:t>
      </w:r>
      <w:r w:rsidR="00BA4A47" w:rsidRPr="00872948">
        <w:rPr>
          <w:shd w:val="clear" w:color="auto" w:fill="FFFFFF"/>
        </w:rPr>
        <w:t>CEP</w:t>
      </w:r>
      <w:r w:rsidR="007D4B47" w:rsidRPr="00872948">
        <w:t>“</w:t>
      </w:r>
      <w:r w:rsidRPr="00872948">
        <w:t xml:space="preserve"> </w:t>
      </w:r>
      <w:r w:rsidR="008B706C">
        <w:t>Súťažných podkladov</w:t>
      </w:r>
      <w:r w:rsidRPr="00872948">
        <w:t xml:space="preserve"> a Prílohy č. </w:t>
      </w:r>
      <w:r w:rsidR="000C0143">
        <w:t>7</w:t>
      </w:r>
      <w:r w:rsidRPr="00872948">
        <w:t xml:space="preserve"> </w:t>
      </w:r>
      <w:r w:rsidR="007D4B47" w:rsidRPr="00872948">
        <w:t>„</w:t>
      </w:r>
      <w:r w:rsidR="000C0143">
        <w:t xml:space="preserve">Popis biznis </w:t>
      </w:r>
      <w:r w:rsidRPr="00872948">
        <w:t>služieb</w:t>
      </w:r>
      <w:r w:rsidR="00C20729" w:rsidRPr="00872948">
        <w:t>–</w:t>
      </w:r>
      <w:r w:rsidRPr="00872948">
        <w:t xml:space="preserve"> </w:t>
      </w:r>
      <w:r w:rsidR="00BA4A47" w:rsidRPr="00872948">
        <w:rPr>
          <w:shd w:val="clear" w:color="auto" w:fill="FFFFFF"/>
        </w:rPr>
        <w:t>CEP</w:t>
      </w:r>
      <w:r w:rsidR="007D4B47" w:rsidRPr="00872948">
        <w:t>“</w:t>
      </w:r>
      <w:r w:rsidR="000C0143">
        <w:t xml:space="preserve"> </w:t>
      </w:r>
      <w:r w:rsidR="000C0143" w:rsidRPr="004F0DD5">
        <w:t>Zmluv</w:t>
      </w:r>
      <w:r w:rsidR="000C0143">
        <w:t>y</w:t>
      </w:r>
      <w:r w:rsidR="000C0143" w:rsidRPr="004F0DD5">
        <w:t xml:space="preserve"> o</w:t>
      </w:r>
      <w:r w:rsidR="000C0143">
        <w:t> </w:t>
      </w:r>
      <w:r w:rsidR="000C0143" w:rsidRPr="004F0DD5">
        <w:t>poskytovaní služieb podpory a</w:t>
      </w:r>
      <w:r w:rsidR="000C0143">
        <w:t> </w:t>
      </w:r>
      <w:r w:rsidR="000C0143" w:rsidRPr="004F0DD5">
        <w:t>údržby informačného systému</w:t>
      </w:r>
      <w:r w:rsidRPr="00872948">
        <w:t>.</w:t>
      </w:r>
    </w:p>
    <w:p w14:paraId="5EB53755" w14:textId="68CF5DAD" w:rsidR="00A228F1" w:rsidRPr="00787D88" w:rsidRDefault="003115EC" w:rsidP="00A81945">
      <w:r w:rsidRPr="00787D88">
        <w:rPr>
          <w:rFonts w:eastAsia="Times New Roman" w:cs="Arial"/>
          <w:lang w:eastAsia="sk-SK"/>
        </w:rPr>
        <w:t xml:space="preserve">Predmetom zákazky je </w:t>
      </w:r>
      <w:r w:rsidR="006560D7" w:rsidRPr="00787D88">
        <w:rPr>
          <w:rFonts w:eastAsia="Times New Roman" w:cs="Arial"/>
          <w:lang w:eastAsia="sk-SK"/>
        </w:rPr>
        <w:t>poskytnut</w:t>
      </w:r>
      <w:r w:rsidRPr="00787D88">
        <w:rPr>
          <w:rFonts w:eastAsia="Times New Roman" w:cs="Arial"/>
          <w:lang w:eastAsia="sk-SK"/>
        </w:rPr>
        <w:t>ie služieb</w:t>
      </w:r>
      <w:r w:rsidR="006560D7" w:rsidRPr="00787D88">
        <w:rPr>
          <w:rFonts w:eastAsia="Times New Roman" w:cs="Arial"/>
          <w:lang w:eastAsia="sk-SK"/>
        </w:rPr>
        <w:t xml:space="preserve"> </w:t>
      </w:r>
      <w:r w:rsidR="0073497A" w:rsidRPr="00787D88">
        <w:t>v</w:t>
      </w:r>
      <w:r w:rsidR="003C5049" w:rsidRPr="00787D88">
        <w:t> </w:t>
      </w:r>
      <w:r w:rsidR="0073497A" w:rsidRPr="00787D88">
        <w:t>nasledovnom rozsahu</w:t>
      </w:r>
      <w:r w:rsidR="00A228F1" w:rsidRPr="00787D88">
        <w:t>:</w:t>
      </w:r>
    </w:p>
    <w:p w14:paraId="6918A725" w14:textId="6552C907" w:rsidR="00A228F1" w:rsidRPr="008D78D6" w:rsidRDefault="006978B9" w:rsidP="00E82077">
      <w:pPr>
        <w:pStyle w:val="OPZNumbered"/>
        <w:numPr>
          <w:ilvl w:val="0"/>
          <w:numId w:val="8"/>
        </w:numPr>
        <w:ind w:left="794" w:hanging="454"/>
      </w:pPr>
      <w:r w:rsidRPr="008D78D6">
        <w:t>V</w:t>
      </w:r>
      <w:r w:rsidR="006560D7" w:rsidRPr="008D78D6">
        <w:t>ytvorenie</w:t>
      </w:r>
      <w:r w:rsidRPr="008D78D6">
        <w:t xml:space="preserve"> a dodanie softvérového diela </w:t>
      </w:r>
      <w:r w:rsidR="003C5049" w:rsidRPr="008D78D6">
        <w:t>pozostávajúceho z nasledovných</w:t>
      </w:r>
      <w:r w:rsidRPr="008D78D6">
        <w:t xml:space="preserve"> </w:t>
      </w:r>
      <w:r w:rsidR="00A228F1" w:rsidRPr="008D78D6">
        <w:t>Funkčn</w:t>
      </w:r>
      <w:r w:rsidRPr="008D78D6">
        <w:t>ých</w:t>
      </w:r>
      <w:r w:rsidR="00A228F1" w:rsidRPr="008D78D6">
        <w:t xml:space="preserve"> celk</w:t>
      </w:r>
      <w:r w:rsidRPr="008D78D6">
        <w:t>ov</w:t>
      </w:r>
      <w:r w:rsidR="003C5049" w:rsidRPr="008D78D6">
        <w:t>/modulov</w:t>
      </w:r>
      <w:r w:rsidR="00A228F1" w:rsidRPr="008D78D6">
        <w:t>:</w:t>
      </w:r>
    </w:p>
    <w:p w14:paraId="5A7EE8CF" w14:textId="068B9D5D" w:rsidR="00EE286B" w:rsidRPr="009045F2" w:rsidRDefault="00A228F1" w:rsidP="004E3628">
      <w:pPr>
        <w:pStyle w:val="OPZNumbL2"/>
      </w:pPr>
      <w:r w:rsidRPr="009045F2">
        <w:t xml:space="preserve">Modul </w:t>
      </w:r>
      <w:r w:rsidR="003C5049" w:rsidRPr="009045F2">
        <w:t>„</w:t>
      </w:r>
      <w:r w:rsidR="008D78D6" w:rsidRPr="009045F2">
        <w:rPr>
          <w:b/>
          <w:bCs/>
        </w:rPr>
        <w:t>CEP</w:t>
      </w:r>
      <w:r w:rsidR="003C5049" w:rsidRPr="009045F2">
        <w:t>“</w:t>
      </w:r>
      <w:r w:rsidR="003A2EE9" w:rsidRPr="009045F2">
        <w:t xml:space="preserve"> </w:t>
      </w:r>
    </w:p>
    <w:p w14:paraId="7F696E42" w14:textId="30503E6B" w:rsidR="00A228F1" w:rsidRPr="009045F2" w:rsidRDefault="00D57403" w:rsidP="00E82077">
      <w:pPr>
        <w:pStyle w:val="OPZNumbL2"/>
        <w:numPr>
          <w:ilvl w:val="1"/>
          <w:numId w:val="6"/>
        </w:numPr>
        <w:ind w:left="1276"/>
      </w:pPr>
      <w:r>
        <w:t>Z</w:t>
      </w:r>
      <w:r w:rsidR="00854298" w:rsidRPr="009045F2">
        <w:t xml:space="preserve">ákladné služby a funkcionality: </w:t>
      </w:r>
    </w:p>
    <w:p w14:paraId="4B70B2C5" w14:textId="7BD104AB" w:rsidR="00167D8F" w:rsidRPr="009045F2" w:rsidRDefault="00167D8F" w:rsidP="00FF0AC5">
      <w:pPr>
        <w:pStyle w:val="OPZBullet1Continue"/>
      </w:pPr>
      <w:r w:rsidRPr="009045F2">
        <w:t>Validáci</w:t>
      </w:r>
      <w:r w:rsidR="00E9586D" w:rsidRPr="009045F2">
        <w:t>a</w:t>
      </w:r>
      <w:r w:rsidRPr="009045F2">
        <w:t xml:space="preserve"> podpisov, pečatí a časových pečiatok</w:t>
      </w:r>
      <w:r w:rsidR="00D95574" w:rsidRPr="009045F2">
        <w:t>,</w:t>
      </w:r>
      <w:r w:rsidRPr="009045F2">
        <w:t xml:space="preserve"> </w:t>
      </w:r>
    </w:p>
    <w:p w14:paraId="33758DA4" w14:textId="316FE1E7" w:rsidR="00167D8F" w:rsidRPr="009045F2" w:rsidRDefault="00167D8F" w:rsidP="00FF0AC5">
      <w:pPr>
        <w:pStyle w:val="OPZBullet1Continue"/>
      </w:pPr>
      <w:r w:rsidRPr="009045F2">
        <w:t>Vytváranie pečatí (</w:t>
      </w:r>
      <w:proofErr w:type="spellStart"/>
      <w:r w:rsidRPr="009045F2">
        <w:t>remote</w:t>
      </w:r>
      <w:proofErr w:type="spellEnd"/>
      <w:r w:rsidRPr="009045F2">
        <w:t xml:space="preserve"> </w:t>
      </w:r>
      <w:proofErr w:type="spellStart"/>
      <w:r w:rsidRPr="009045F2">
        <w:t>sealing</w:t>
      </w:r>
      <w:proofErr w:type="spellEnd"/>
      <w:r w:rsidRPr="009045F2">
        <w:t>)</w:t>
      </w:r>
      <w:r w:rsidR="00D95574" w:rsidRPr="009045F2">
        <w:t>,</w:t>
      </w:r>
      <w:r w:rsidRPr="009045F2">
        <w:t xml:space="preserve"> </w:t>
      </w:r>
    </w:p>
    <w:p w14:paraId="07D7FB1B" w14:textId="2C3A282C" w:rsidR="00167D8F" w:rsidRPr="009045F2" w:rsidRDefault="00167D8F" w:rsidP="00167D8F">
      <w:pPr>
        <w:pStyle w:val="OPZBullet1Continue"/>
      </w:pPr>
      <w:r w:rsidRPr="009045F2">
        <w:t>Pripájanie časových pečiatok</w:t>
      </w:r>
      <w:r w:rsidR="00D95574" w:rsidRPr="009045F2">
        <w:t>,</w:t>
      </w:r>
      <w:r w:rsidRPr="009045F2">
        <w:t xml:space="preserve"> </w:t>
      </w:r>
    </w:p>
    <w:p w14:paraId="03C8FAA7" w14:textId="4E23DDE0" w:rsidR="00167D8F" w:rsidRPr="009045F2" w:rsidRDefault="00167D8F" w:rsidP="00167D8F">
      <w:pPr>
        <w:pStyle w:val="OPZBullet1Continue"/>
      </w:pPr>
      <w:r w:rsidRPr="009045F2">
        <w:t>Spájanie podpisových kontajnerov</w:t>
      </w:r>
      <w:r w:rsidR="00D95574" w:rsidRPr="009045F2">
        <w:t>,</w:t>
      </w:r>
      <w:r w:rsidRPr="009045F2">
        <w:t xml:space="preserve"> </w:t>
      </w:r>
    </w:p>
    <w:p w14:paraId="504482DA" w14:textId="5103B590" w:rsidR="00167D8F" w:rsidRPr="009045F2" w:rsidRDefault="00167D8F" w:rsidP="00167D8F">
      <w:pPr>
        <w:pStyle w:val="OPZBullet1Continue"/>
      </w:pPr>
      <w:r w:rsidRPr="009045F2">
        <w:t>Zisťovanie typu a formy podpisu</w:t>
      </w:r>
      <w:r w:rsidR="00D95574" w:rsidRPr="009045F2">
        <w:t>,</w:t>
      </w:r>
      <w:r w:rsidRPr="009045F2">
        <w:t xml:space="preserve"> </w:t>
      </w:r>
    </w:p>
    <w:p w14:paraId="6F5CC926" w14:textId="16593154" w:rsidR="00167D8F" w:rsidRPr="009045F2" w:rsidRDefault="00167D8F" w:rsidP="00167D8F">
      <w:pPr>
        <w:pStyle w:val="OPZBullet1Continue"/>
      </w:pPr>
      <w:r w:rsidRPr="009045F2">
        <w:t>Vrátenie podpísaných dát (</w:t>
      </w:r>
      <w:proofErr w:type="spellStart"/>
      <w:r w:rsidRPr="009045F2">
        <w:t>odpodpísanie</w:t>
      </w:r>
      <w:proofErr w:type="spellEnd"/>
      <w:r w:rsidRPr="009045F2">
        <w:t>)</w:t>
      </w:r>
      <w:r w:rsidR="00D95574" w:rsidRPr="009045F2">
        <w:t>,</w:t>
      </w:r>
      <w:r w:rsidRPr="009045F2">
        <w:t xml:space="preserve"> </w:t>
      </w:r>
    </w:p>
    <w:p w14:paraId="559D9C7B" w14:textId="76C61916" w:rsidR="00167D8F" w:rsidRPr="009045F2" w:rsidRDefault="00167D8F" w:rsidP="00167D8F">
      <w:pPr>
        <w:pStyle w:val="OPZBullet1Continue"/>
      </w:pPr>
      <w:proofErr w:type="spellStart"/>
      <w:r w:rsidRPr="009045F2">
        <w:t>Kanonikalizáciu</w:t>
      </w:r>
      <w:proofErr w:type="spellEnd"/>
      <w:r w:rsidR="00D95574" w:rsidRPr="009045F2">
        <w:t>,</w:t>
      </w:r>
      <w:r w:rsidRPr="009045F2">
        <w:t xml:space="preserve"> </w:t>
      </w:r>
    </w:p>
    <w:p w14:paraId="1A890742" w14:textId="28BD5C53" w:rsidR="00167D8F" w:rsidRPr="009045F2" w:rsidRDefault="00167D8F" w:rsidP="00167D8F">
      <w:pPr>
        <w:pStyle w:val="OPZBullet1Continue"/>
      </w:pPr>
      <w:r w:rsidRPr="009045F2">
        <w:t>Konverziu formátov</w:t>
      </w:r>
      <w:r w:rsidR="00D95574" w:rsidRPr="009045F2">
        <w:t>,</w:t>
      </w:r>
      <w:r w:rsidRPr="009045F2">
        <w:t xml:space="preserve"> </w:t>
      </w:r>
    </w:p>
    <w:p w14:paraId="15E82A06" w14:textId="038BB565" w:rsidR="00167D8F" w:rsidRPr="009045F2" w:rsidRDefault="00167D8F" w:rsidP="00167D8F">
      <w:pPr>
        <w:pStyle w:val="OPZBullet1Continue"/>
      </w:pPr>
      <w:r w:rsidRPr="009045F2">
        <w:t>Vystavenie doručenky</w:t>
      </w:r>
      <w:r w:rsidR="00D95574" w:rsidRPr="009045F2">
        <w:t>,</w:t>
      </w:r>
      <w:r w:rsidRPr="009045F2">
        <w:t xml:space="preserve"> </w:t>
      </w:r>
    </w:p>
    <w:p w14:paraId="1BD4FC14" w14:textId="77777777" w:rsidR="00EE286B" w:rsidRPr="009045F2" w:rsidRDefault="00167D8F" w:rsidP="00EE286B">
      <w:pPr>
        <w:pStyle w:val="OPZBullet1Continue"/>
      </w:pPr>
      <w:r w:rsidRPr="009045F2">
        <w:t>Prevod na archívnu formu</w:t>
      </w:r>
      <w:r w:rsidR="002F2773" w:rsidRPr="009045F2">
        <w:t>.</w:t>
      </w:r>
      <w:r w:rsidR="0076591C" w:rsidRPr="009045F2">
        <w:t xml:space="preserve"> </w:t>
      </w:r>
    </w:p>
    <w:p w14:paraId="1FEC8EF6" w14:textId="6B3678A2" w:rsidR="00854298" w:rsidRPr="000C65FF" w:rsidRDefault="00EE286B" w:rsidP="00E82077">
      <w:pPr>
        <w:pStyle w:val="OPZNumbL2"/>
        <w:numPr>
          <w:ilvl w:val="1"/>
          <w:numId w:val="6"/>
        </w:numPr>
        <w:ind w:left="1276"/>
      </w:pPr>
      <w:r w:rsidRPr="000C65FF">
        <w:t>Hlav</w:t>
      </w:r>
      <w:r w:rsidR="00562CCB" w:rsidRPr="000C65FF">
        <w:t xml:space="preserve">né </w:t>
      </w:r>
      <w:r w:rsidRPr="000C65FF">
        <w:t>zlepšenia</w:t>
      </w:r>
      <w:r w:rsidR="00F8711C" w:rsidRPr="000C65FF">
        <w:t xml:space="preserve">: </w:t>
      </w:r>
    </w:p>
    <w:p w14:paraId="486AD80D" w14:textId="41DFCF64" w:rsidR="000D0F04" w:rsidRDefault="00516E03" w:rsidP="000D0F04">
      <w:pPr>
        <w:pStyle w:val="OPZBullet1Continue"/>
      </w:pPr>
      <w:r>
        <w:t>Architektúr</w:t>
      </w:r>
      <w:r w:rsidR="00E9586D">
        <w:t>a</w:t>
      </w:r>
      <w:r>
        <w:t xml:space="preserve"> </w:t>
      </w:r>
      <w:proofErr w:type="spellStart"/>
      <w:r>
        <w:t>mikroslužieb</w:t>
      </w:r>
      <w:proofErr w:type="spellEnd"/>
      <w:r w:rsidR="00E9586D">
        <w:t>,</w:t>
      </w:r>
      <w:r>
        <w:t xml:space="preserve"> </w:t>
      </w:r>
    </w:p>
    <w:p w14:paraId="37BEC382" w14:textId="33D8F5C3" w:rsidR="00516E03" w:rsidRDefault="00516E03" w:rsidP="00516E03">
      <w:pPr>
        <w:pStyle w:val="OPZBullet1Continue"/>
      </w:pPr>
      <w:r>
        <w:t>Škálovateľnosť riešenia</w:t>
      </w:r>
      <w:r w:rsidR="000C65FF">
        <w:t>,</w:t>
      </w:r>
      <w:r>
        <w:t xml:space="preserve"> </w:t>
      </w:r>
    </w:p>
    <w:p w14:paraId="2C5F32D0" w14:textId="4D66C352" w:rsidR="00516E03" w:rsidRDefault="00516E03" w:rsidP="00516E03">
      <w:pPr>
        <w:pStyle w:val="OPZBullet1Continue"/>
      </w:pPr>
      <w:r>
        <w:t>Nové optimalizované REST služby</w:t>
      </w:r>
      <w:r w:rsidR="00D3017C">
        <w:t>,</w:t>
      </w:r>
      <w:r>
        <w:t xml:space="preserve"> </w:t>
      </w:r>
    </w:p>
    <w:p w14:paraId="4BCE26F0" w14:textId="4F6F408A" w:rsidR="000D0F04" w:rsidRDefault="000D0F04" w:rsidP="000D0F04">
      <w:pPr>
        <w:pStyle w:val="OPZBullet1Continue"/>
      </w:pPr>
      <w:r>
        <w:t>Automatizácia interných procesov CEP</w:t>
      </w:r>
      <w:r w:rsidR="00D3017C">
        <w:t xml:space="preserve">, </w:t>
      </w:r>
    </w:p>
    <w:p w14:paraId="5B2D0E35" w14:textId="6FD4AFBC" w:rsidR="00516E03" w:rsidRDefault="00516E03" w:rsidP="00694CFC">
      <w:pPr>
        <w:pStyle w:val="OPZBullet1Continue"/>
      </w:pPr>
      <w:r>
        <w:t>Možnosť využiť externé dôveryhodné služby validácie ako aj služby pečatenia ako zdroj pre výstupy z</w:t>
      </w:r>
      <w:r w:rsidR="00D3017C">
        <w:t> </w:t>
      </w:r>
      <w:r>
        <w:t>CEP</w:t>
      </w:r>
      <w:r w:rsidR="00D3017C">
        <w:t>,</w:t>
      </w:r>
      <w:r>
        <w:t xml:space="preserve"> </w:t>
      </w:r>
    </w:p>
    <w:p w14:paraId="6A86ED61" w14:textId="54994BB2" w:rsidR="00516E03" w:rsidRDefault="00516E03" w:rsidP="00694CFC">
      <w:pPr>
        <w:pStyle w:val="OPZBullet1Continue"/>
      </w:pPr>
      <w:r>
        <w:t>Synchrónna a</w:t>
      </w:r>
      <w:r w:rsidR="00D3017C">
        <w:t> </w:t>
      </w:r>
      <w:r>
        <w:t>asynchrónna validácia podpisov a</w:t>
      </w:r>
      <w:r w:rsidR="00A50559">
        <w:t> </w:t>
      </w:r>
      <w:r>
        <w:t>pečatí v</w:t>
      </w:r>
      <w:r w:rsidR="00A50559">
        <w:t> </w:t>
      </w:r>
      <w:r>
        <w:t>súlade s</w:t>
      </w:r>
      <w:r w:rsidR="00D3017C">
        <w:t> </w:t>
      </w:r>
      <w:r>
        <w:t>aktuálnou legislatívou a</w:t>
      </w:r>
      <w:r w:rsidR="00D3017C">
        <w:t> </w:t>
      </w:r>
      <w:r>
        <w:t>ETSI špecifikáciami, vrátane autorizácie funkciou prístupového miesta a</w:t>
      </w:r>
      <w:r w:rsidR="00690979">
        <w:t> </w:t>
      </w:r>
      <w:r>
        <w:t>nových formátov podpisov definovaných ETSI: ETSI EN 319 132 (</w:t>
      </w:r>
      <w:proofErr w:type="spellStart"/>
      <w:r>
        <w:t>XAdES</w:t>
      </w:r>
      <w:proofErr w:type="spellEnd"/>
      <w:r>
        <w:t>), ETSI EN 319 162 (</w:t>
      </w:r>
      <w:proofErr w:type="spellStart"/>
      <w:r>
        <w:t>ASiC</w:t>
      </w:r>
      <w:proofErr w:type="spellEnd"/>
      <w:r>
        <w:t>), ETSI EN 319 122 (</w:t>
      </w:r>
      <w:proofErr w:type="spellStart"/>
      <w:r>
        <w:t>CAdES</w:t>
      </w:r>
      <w:proofErr w:type="spellEnd"/>
      <w:r>
        <w:t>), EN 319 142 (</w:t>
      </w:r>
      <w:proofErr w:type="spellStart"/>
      <w:r>
        <w:t>PAdES</w:t>
      </w:r>
      <w:proofErr w:type="spellEnd"/>
      <w:r>
        <w:t>)</w:t>
      </w:r>
      <w:r w:rsidR="00D3017C">
        <w:t>,</w:t>
      </w:r>
      <w:r>
        <w:t xml:space="preserve"> </w:t>
      </w:r>
    </w:p>
    <w:p w14:paraId="16695C02" w14:textId="0218D7A7" w:rsidR="000D0F04" w:rsidRPr="00375867" w:rsidRDefault="00516E03" w:rsidP="00694CFC">
      <w:pPr>
        <w:pStyle w:val="OPZBullet1Continue"/>
      </w:pPr>
      <w:r>
        <w:t>Možnosť validácie podpisov na základe detekcie formátu podpisu aj pri asynchrónnom spracovaní</w:t>
      </w:r>
      <w:r w:rsidR="00D3017C">
        <w:t>,</w:t>
      </w:r>
      <w:r>
        <w:t xml:space="preserve"> </w:t>
      </w:r>
    </w:p>
    <w:p w14:paraId="602F85CE" w14:textId="55CFDFFA" w:rsidR="00256D62" w:rsidRPr="00256D62" w:rsidRDefault="000D0F04" w:rsidP="00694CFC">
      <w:pPr>
        <w:pStyle w:val="OPZBullet1Continue"/>
      </w:pPr>
      <w:r w:rsidRPr="00375867">
        <w:t>Rozlišovanie legislatívnych typov podpisov (namiesto doterajšieho ne</w:t>
      </w:r>
      <w:r w:rsidR="00700F12">
        <w:t xml:space="preserve">dostatočného </w:t>
      </w:r>
      <w:r w:rsidRPr="00375867">
        <w:t>rozlišovania</w:t>
      </w:r>
      <w:r w:rsidR="00E61BD3">
        <w:t>,</w:t>
      </w:r>
      <w:r w:rsidRPr="00375867">
        <w:t xml:space="preserve"> napríklad </w:t>
      </w:r>
      <w:r w:rsidR="002E69A0">
        <w:t xml:space="preserve">pečatí </w:t>
      </w:r>
      <w:r w:rsidRPr="00375867">
        <w:t xml:space="preserve">kvalifikovanej služby validácie pri </w:t>
      </w:r>
      <w:proofErr w:type="spellStart"/>
      <w:r w:rsidRPr="00375867">
        <w:t>PAdES</w:t>
      </w:r>
      <w:proofErr w:type="spellEnd"/>
      <w:r w:rsidRPr="00375867">
        <w:t xml:space="preserve"> pečatiach a kvalifikovanej služby uchovávania), </w:t>
      </w:r>
    </w:p>
    <w:p w14:paraId="236BB7E0" w14:textId="17A4B8CC" w:rsidR="00256D62" w:rsidRDefault="00256D62" w:rsidP="00694CFC">
      <w:pPr>
        <w:pStyle w:val="OPZBullet1Continue"/>
      </w:pPr>
      <w:r>
        <w:t>Automatizácia detekcie zmien v</w:t>
      </w:r>
      <w:r w:rsidR="00065B0A">
        <w:t> </w:t>
      </w:r>
      <w:r>
        <w:t>LOTL, TSL, podpisovej politike NBÚ a</w:t>
      </w:r>
      <w:r w:rsidR="002734DA">
        <w:t> </w:t>
      </w:r>
      <w:r>
        <w:t>ich zohľadňovanie pri validácii podpisov</w:t>
      </w:r>
      <w:r w:rsidR="00065B0A">
        <w:t>,</w:t>
      </w:r>
      <w:r>
        <w:t xml:space="preserve"> </w:t>
      </w:r>
    </w:p>
    <w:p w14:paraId="22BA1AEB" w14:textId="7EA9DBA2" w:rsidR="000D0F04" w:rsidRPr="00375867" w:rsidRDefault="00E34425" w:rsidP="00694CFC">
      <w:pPr>
        <w:pStyle w:val="OPZBullet1Continue"/>
      </w:pPr>
      <w:r w:rsidRPr="00375867">
        <w:t>Automatické akceptovanie zmien a</w:t>
      </w:r>
      <w:r w:rsidR="00F171FA">
        <w:t> </w:t>
      </w:r>
      <w:r w:rsidRPr="00375867">
        <w:t>nových podpisových politík NBÚ,</w:t>
      </w:r>
      <w:r w:rsidR="00065B0A">
        <w:t xml:space="preserve"> </w:t>
      </w:r>
    </w:p>
    <w:p w14:paraId="4A6D2C6F" w14:textId="7F0EA75D" w:rsidR="000D0F04" w:rsidRPr="00375867" w:rsidRDefault="000D0F04" w:rsidP="00694CFC">
      <w:pPr>
        <w:pStyle w:val="OPZBullet1Continue"/>
      </w:pPr>
      <w:r w:rsidRPr="00375867">
        <w:t>Automatická aktualizácia certifikátov z</w:t>
      </w:r>
      <w:r w:rsidR="00065B0A">
        <w:t> </w:t>
      </w:r>
      <w:r w:rsidRPr="00375867">
        <w:t>LOTL EÚ (namiesto doterajšieho manuálneho procesu v </w:t>
      </w:r>
      <w:proofErr w:type="spellStart"/>
      <w:r w:rsidRPr="00375867">
        <w:t>PAdES</w:t>
      </w:r>
      <w:proofErr w:type="spellEnd"/>
      <w:r w:rsidRPr="00375867">
        <w:t xml:space="preserve"> overovači a vlastného samostatného monitoringu výskytu zmeny certifikátu LOTL na strane prevádzkovateľa podateľne), </w:t>
      </w:r>
    </w:p>
    <w:p w14:paraId="594E8E1E" w14:textId="6EE15248" w:rsidR="000D0F04" w:rsidRPr="00375867" w:rsidRDefault="000D0F04" w:rsidP="00694CFC">
      <w:pPr>
        <w:pStyle w:val="OPZBullet1Continue"/>
      </w:pPr>
      <w:r w:rsidRPr="00375867">
        <w:t>Automatická aktualizácia URL adresy LOTL (namiesto doterajšieho manuálneho procesu),</w:t>
      </w:r>
      <w:r w:rsidR="002734DA">
        <w:t xml:space="preserve"> </w:t>
      </w:r>
    </w:p>
    <w:p w14:paraId="35AEEF0A" w14:textId="2C085F2F" w:rsidR="000D0F04" w:rsidRPr="00375867" w:rsidRDefault="000D0F04" w:rsidP="00694CFC">
      <w:pPr>
        <w:pStyle w:val="OPZBullet1Continue"/>
      </w:pPr>
      <w:r w:rsidRPr="00375867">
        <w:t xml:space="preserve">Automatické akceptovanie </w:t>
      </w:r>
      <w:proofErr w:type="spellStart"/>
      <w:r w:rsidRPr="00375867">
        <w:t>intermediate</w:t>
      </w:r>
      <w:proofErr w:type="spellEnd"/>
      <w:r w:rsidRPr="00375867">
        <w:t xml:space="preserve"> CA (namiesto manuálneho procesu a samostatného mechanizmu monitoringu výskytu takejto CA na strane prevádzkovateľa podateľne), </w:t>
      </w:r>
    </w:p>
    <w:p w14:paraId="131519D1" w14:textId="5E07DE20" w:rsidR="000D0F04" w:rsidRPr="00375867" w:rsidRDefault="000D0F04" w:rsidP="00694CFC">
      <w:pPr>
        <w:pStyle w:val="OPZBullet1Continue"/>
      </w:pPr>
      <w:r w:rsidRPr="00375867">
        <w:t>Automatické akceptovanie certifikátu CA z TSL, ktorý bol v TSL zmenený bez zmeny sériového čísla (namiesto doterajšieho manuálneho nastavovania),</w:t>
      </w:r>
      <w:r w:rsidR="002734DA">
        <w:t xml:space="preserve"> </w:t>
      </w:r>
    </w:p>
    <w:p w14:paraId="2B8C2FD5" w14:textId="77777777" w:rsidR="000D0F04" w:rsidRPr="00375867" w:rsidRDefault="000D0F04" w:rsidP="00694CFC">
      <w:pPr>
        <w:pStyle w:val="OPZBullet1Continue"/>
      </w:pPr>
      <w:r w:rsidRPr="00375867">
        <w:t xml:space="preserve">Automatické nastavovanie stavov výsledku validácie podpisov s certifikátmi tesne pred ich exspiráciou (namiesto doterajšieho manuálneho nastavovania výsledku), </w:t>
      </w:r>
    </w:p>
    <w:p w14:paraId="554D922E" w14:textId="5027B202" w:rsidR="00516E03" w:rsidRDefault="003115FC" w:rsidP="00694CFC">
      <w:pPr>
        <w:pStyle w:val="OPZBullet1Continue"/>
      </w:pPr>
      <w:r w:rsidRPr="00375867">
        <w:t>Poskytovanie výsledkov validácie v súlade s</w:t>
      </w:r>
      <w:r w:rsidR="00FE3607">
        <w:t> </w:t>
      </w:r>
      <w:r w:rsidRPr="00375867">
        <w:t>požiadavkami ETSI špecifikácií, napríklad rovnaké výsledky „</w:t>
      </w:r>
      <w:proofErr w:type="spellStart"/>
      <w:r w:rsidRPr="00375867">
        <w:t>indication</w:t>
      </w:r>
      <w:proofErr w:type="spellEnd"/>
      <w:r w:rsidRPr="00375867">
        <w:t>“ a „</w:t>
      </w:r>
      <w:proofErr w:type="spellStart"/>
      <w:r w:rsidRPr="00375867">
        <w:t>subindication</w:t>
      </w:r>
      <w:proofErr w:type="spellEnd"/>
      <w:r w:rsidRPr="00375867">
        <w:t xml:space="preserve">“ pre jednotlivé formáty podpisov, </w:t>
      </w:r>
    </w:p>
    <w:p w14:paraId="71C4E1B3" w14:textId="77777777" w:rsidR="00FC0F0A" w:rsidRPr="00375867" w:rsidRDefault="00FC0F0A" w:rsidP="00694CFC">
      <w:pPr>
        <w:pStyle w:val="OPZBullet1Continue"/>
      </w:pPr>
      <w:r w:rsidRPr="00FC0F0A">
        <w:t>Podpora viacerých kryptografických</w:t>
      </w:r>
      <w:r w:rsidRPr="00375867">
        <w:t xml:space="preserve"> algoritmov a funkcií podľa podpisovej politiky NBÚ, napríklad ECDSA, SHA3, RSA-PSS, </w:t>
      </w:r>
    </w:p>
    <w:p w14:paraId="14789A51" w14:textId="75A967DE" w:rsidR="00FC0F0A" w:rsidRDefault="00B772BF" w:rsidP="00694CFC">
      <w:pPr>
        <w:pStyle w:val="OPZBullet1Continue"/>
      </w:pPr>
      <w:r w:rsidRPr="00375867">
        <w:t>Automatická kontrola a </w:t>
      </w:r>
      <w:proofErr w:type="spellStart"/>
      <w:r w:rsidRPr="00375867">
        <w:t>dospracovanie</w:t>
      </w:r>
      <w:proofErr w:type="spellEnd"/>
      <w:r w:rsidRPr="00375867">
        <w:t xml:space="preserve"> validácie </w:t>
      </w:r>
      <w:r w:rsidR="00842D08">
        <w:t xml:space="preserve">podpisov </w:t>
      </w:r>
      <w:r w:rsidRPr="00375867">
        <w:t xml:space="preserve">PDF súborov (namiesto doterajšieho manuálneho </w:t>
      </w:r>
      <w:proofErr w:type="spellStart"/>
      <w:r w:rsidRPr="00375867">
        <w:t>dospracovania</w:t>
      </w:r>
      <w:proofErr w:type="spellEnd"/>
      <w:r w:rsidRPr="00375867">
        <w:t xml:space="preserve"> v</w:t>
      </w:r>
      <w:r w:rsidR="00152425">
        <w:t> </w:t>
      </w:r>
      <w:r w:rsidRPr="00375867">
        <w:t>prípade</w:t>
      </w:r>
      <w:r w:rsidR="00152425">
        <w:t>,</w:t>
      </w:r>
      <w:r w:rsidRPr="00375867">
        <w:t xml:space="preserve"> ak podateľňa vyhodnotila súbor pri validácii ako podozrivý), </w:t>
      </w:r>
    </w:p>
    <w:p w14:paraId="1BEDD6CA" w14:textId="7CCB3C8A" w:rsidR="00516E03" w:rsidRDefault="00516E03" w:rsidP="00694CFC">
      <w:pPr>
        <w:pStyle w:val="OPZBullet1Continue"/>
      </w:pPr>
      <w:proofErr w:type="spellStart"/>
      <w:r>
        <w:t>Remote</w:t>
      </w:r>
      <w:proofErr w:type="spellEnd"/>
      <w:r>
        <w:t xml:space="preserve"> </w:t>
      </w:r>
      <w:proofErr w:type="spellStart"/>
      <w:r>
        <w:t>sealing</w:t>
      </w:r>
      <w:proofErr w:type="spellEnd"/>
      <w:r>
        <w:t xml:space="preserve"> aj s</w:t>
      </w:r>
      <w:r w:rsidR="001675D8">
        <w:t> </w:t>
      </w:r>
      <w:r>
        <w:t>využitím vyššej úrovne zabezpečenia s</w:t>
      </w:r>
      <w:r w:rsidR="00704E46">
        <w:t> </w:t>
      </w:r>
      <w:r>
        <w:t>podporou pre SAM (</w:t>
      </w:r>
      <w:proofErr w:type="spellStart"/>
      <w:r>
        <w:t>signature</w:t>
      </w:r>
      <w:proofErr w:type="spellEnd"/>
      <w:r>
        <w:t xml:space="preserve"> </w:t>
      </w:r>
      <w:proofErr w:type="spellStart"/>
      <w:r>
        <w:t>activation</w:t>
      </w:r>
      <w:proofErr w:type="spellEnd"/>
      <w:r>
        <w:t xml:space="preserve"> module) HSM (Pečatenie na diaľku) </w:t>
      </w:r>
      <w:r w:rsidR="00FC0F0A" w:rsidRPr="00375867">
        <w:t>s vyžadovanou autentifikáciou vlastníka kľúčového páru pri volaní služby CEP</w:t>
      </w:r>
      <w:r w:rsidR="00162BBC">
        <w:t xml:space="preserve"> na predpísanej úrovni</w:t>
      </w:r>
      <w:r w:rsidR="00FC0F0A" w:rsidRPr="00375867">
        <w:t>,</w:t>
      </w:r>
      <w:r w:rsidR="001A63B8">
        <w:t xml:space="preserve"> </w:t>
      </w:r>
    </w:p>
    <w:p w14:paraId="0E55C253" w14:textId="4D6219A2" w:rsidR="00516E03" w:rsidRDefault="00516E03" w:rsidP="00694CFC">
      <w:pPr>
        <w:pStyle w:val="OPZBullet1Continue"/>
      </w:pPr>
      <w:r>
        <w:t>Detekcia typu a</w:t>
      </w:r>
      <w:r w:rsidR="00A13632">
        <w:t> </w:t>
      </w:r>
      <w:r>
        <w:t>formy podpisu v</w:t>
      </w:r>
      <w:r w:rsidR="00A13632">
        <w:t> </w:t>
      </w:r>
      <w:r>
        <w:t>súlade s</w:t>
      </w:r>
      <w:r w:rsidR="00A13632">
        <w:t> </w:t>
      </w:r>
      <w:r>
        <w:t>aktuálnou legislatívou a</w:t>
      </w:r>
      <w:r w:rsidR="00A13632">
        <w:t> </w:t>
      </w:r>
      <w:r>
        <w:t>novými formátmi definovanými ETSI</w:t>
      </w:r>
      <w:r w:rsidR="00A13632">
        <w:t>,</w:t>
      </w:r>
      <w:r>
        <w:t xml:space="preserve"> </w:t>
      </w:r>
    </w:p>
    <w:p w14:paraId="0B0CB3CF" w14:textId="18263507" w:rsidR="00516E03" w:rsidRDefault="00516E03" w:rsidP="00694CFC">
      <w:pPr>
        <w:pStyle w:val="OPZBullet1Continue"/>
      </w:pPr>
      <w:r>
        <w:t>Pripájanie časových pečiatok v</w:t>
      </w:r>
      <w:r w:rsidR="00A13632">
        <w:t> </w:t>
      </w:r>
      <w:r>
        <w:t>súlade s</w:t>
      </w:r>
      <w:r w:rsidR="00A13632">
        <w:t> </w:t>
      </w:r>
      <w:r>
        <w:t>aktuálnou legislatívou a</w:t>
      </w:r>
      <w:r w:rsidR="002D7E1D">
        <w:t> </w:t>
      </w:r>
      <w:r>
        <w:t>novými formátmi definovanými ETSI</w:t>
      </w:r>
      <w:r w:rsidR="00D92CA9">
        <w:t>,</w:t>
      </w:r>
      <w:r>
        <w:t xml:space="preserve"> </w:t>
      </w:r>
    </w:p>
    <w:p w14:paraId="015AD4E2" w14:textId="4EA8ADE7" w:rsidR="00516E03" w:rsidRDefault="00516E03" w:rsidP="00694CFC">
      <w:pPr>
        <w:pStyle w:val="OPZBullet1Continue"/>
      </w:pPr>
      <w:r>
        <w:t>Spájanie a</w:t>
      </w:r>
      <w:r w:rsidR="00D92CA9">
        <w:t> </w:t>
      </w:r>
      <w:r>
        <w:t>rozdeľovanie podpisových kontajnerov v</w:t>
      </w:r>
      <w:r w:rsidR="00EC5916">
        <w:t> </w:t>
      </w:r>
      <w:r>
        <w:t>súlade s</w:t>
      </w:r>
      <w:r w:rsidR="002D7E1D">
        <w:t> </w:t>
      </w:r>
      <w:r>
        <w:t>aktuálnou legislatívou a</w:t>
      </w:r>
      <w:r w:rsidR="00EC5916">
        <w:t> </w:t>
      </w:r>
      <w:r>
        <w:t>novými formátmi definovanými ETSI</w:t>
      </w:r>
      <w:r w:rsidR="00EC5916">
        <w:t>,</w:t>
      </w:r>
      <w:r>
        <w:t xml:space="preserve"> </w:t>
      </w:r>
    </w:p>
    <w:p w14:paraId="449D453F" w14:textId="4DF9694D" w:rsidR="000D0F04" w:rsidRPr="00375867" w:rsidRDefault="00516E03" w:rsidP="00694CFC">
      <w:pPr>
        <w:pStyle w:val="OPZBullet1Continue"/>
      </w:pPr>
      <w:r>
        <w:t>Pokročilé logovanie a</w:t>
      </w:r>
      <w:r w:rsidR="00EC5916">
        <w:t> </w:t>
      </w:r>
      <w:r>
        <w:t>monitoring</w:t>
      </w:r>
      <w:r w:rsidR="00EC5916">
        <w:t>,</w:t>
      </w:r>
      <w:r>
        <w:t xml:space="preserve"> </w:t>
      </w:r>
    </w:p>
    <w:p w14:paraId="14A59CEC" w14:textId="4883318D" w:rsidR="00516E03" w:rsidRDefault="000D0F04" w:rsidP="00694CFC">
      <w:pPr>
        <w:pStyle w:val="OPZBullet1Continue"/>
      </w:pPr>
      <w:r w:rsidRPr="00375867">
        <w:t xml:space="preserve">Väčšia úroveň detailnosti chybových kódov pre zabezpečenie potrebnej úrovne </w:t>
      </w:r>
      <w:proofErr w:type="spellStart"/>
      <w:r w:rsidRPr="00375867">
        <w:t>error-handling</w:t>
      </w:r>
      <w:proofErr w:type="spellEnd"/>
      <w:r w:rsidRPr="00375867">
        <w:t xml:space="preserve"> (napríklad pri nepodporovanom formáte podpisu, </w:t>
      </w:r>
      <w:proofErr w:type="spellStart"/>
      <w:r w:rsidRPr="00375867">
        <w:t>neoveriteľnosti</w:t>
      </w:r>
      <w:proofErr w:type="spellEnd"/>
      <w:r w:rsidRPr="00375867">
        <w:t xml:space="preserve"> niektorého z podpisov, spracúvaní </w:t>
      </w:r>
      <w:proofErr w:type="spellStart"/>
      <w:r w:rsidRPr="00375867">
        <w:t>PAdES</w:t>
      </w:r>
      <w:proofErr w:type="spellEnd"/>
      <w:r w:rsidRPr="00375867">
        <w:t xml:space="preserve"> podpisov a</w:t>
      </w:r>
      <w:r w:rsidR="00E97017">
        <w:t> </w:t>
      </w:r>
      <w:r w:rsidRPr="00375867">
        <w:t xml:space="preserve">podobne), </w:t>
      </w:r>
    </w:p>
    <w:p w14:paraId="7FA5D6DC" w14:textId="6616C71B" w:rsidR="00516E03" w:rsidRDefault="00516E03" w:rsidP="00694CFC">
      <w:pPr>
        <w:pStyle w:val="OPZBullet1Continue"/>
      </w:pPr>
      <w:r>
        <w:t>Podpora pre spracovanie elektronických správ s</w:t>
      </w:r>
      <w:r w:rsidR="00BB6E2C">
        <w:t> </w:t>
      </w:r>
      <w:r>
        <w:t>veľkosťou väčšou ako 50 MB, vrátane práce s</w:t>
      </w:r>
      <w:r w:rsidR="00E11D2A">
        <w:t> </w:t>
      </w:r>
      <w:proofErr w:type="spellStart"/>
      <w:r>
        <w:t>referencovanými</w:t>
      </w:r>
      <w:proofErr w:type="spellEnd"/>
      <w:r>
        <w:t xml:space="preserve"> veľkými prílohami v</w:t>
      </w:r>
      <w:r w:rsidR="00E11D2A">
        <w:t> </w:t>
      </w:r>
      <w:r>
        <w:t>centrálnom úložisku cez OST API (ktorých veľkosť môže dosiahnuť aj niekoľko GB)</w:t>
      </w:r>
      <w:r w:rsidR="00E11D2A">
        <w:t>,</w:t>
      </w:r>
      <w:r>
        <w:t xml:space="preserve"> </w:t>
      </w:r>
    </w:p>
    <w:p w14:paraId="1FFCE8F2" w14:textId="16E484AE" w:rsidR="00516E03" w:rsidRDefault="00516E03" w:rsidP="00694CFC">
      <w:pPr>
        <w:pStyle w:val="OPZBullet1Continue"/>
      </w:pPr>
      <w:r>
        <w:t>Konverzia medzi podpisovými formátmi EÚ a</w:t>
      </w:r>
      <w:r w:rsidR="00E11D2A">
        <w:t> </w:t>
      </w:r>
      <w:r>
        <w:t>ZEPf do formátu EÚ</w:t>
      </w:r>
      <w:r w:rsidR="00E11D2A">
        <w:t>,</w:t>
      </w:r>
      <w:r>
        <w:t xml:space="preserve"> </w:t>
      </w:r>
    </w:p>
    <w:p w14:paraId="448142E9" w14:textId="63F6C9D1" w:rsidR="00516E03" w:rsidRDefault="00516E03" w:rsidP="00694CFC">
      <w:pPr>
        <w:pStyle w:val="OPZBullet1Continue"/>
      </w:pPr>
      <w:r>
        <w:t xml:space="preserve">Pečatenie, konverzia a validácia formátov PDF/A-2, 3, 4 a PDF </w:t>
      </w:r>
      <w:r w:rsidR="00F522F3">
        <w:t xml:space="preserve">aj </w:t>
      </w:r>
      <w:r>
        <w:t xml:space="preserve">vo verziách vyšších ako PDF 1.4 </w:t>
      </w:r>
      <w:r w:rsidR="00A758E8">
        <w:t>(namiesto doterajšej podpory PDF maximálne vo verzii 1.4)</w:t>
      </w:r>
      <w:r w:rsidR="00E11D2A">
        <w:t xml:space="preserve">, </w:t>
      </w:r>
    </w:p>
    <w:p w14:paraId="2D4608C6" w14:textId="1E2F7E6F" w:rsidR="00516E03" w:rsidRPr="00694CFC" w:rsidRDefault="00516E03" w:rsidP="004E3628">
      <w:pPr>
        <w:pStyle w:val="OPZBullet1Continue"/>
      </w:pPr>
      <w:r>
        <w:t>Pečatenie ľubovoľných formátov súborov s</w:t>
      </w:r>
      <w:r w:rsidR="00E11D2A">
        <w:t> </w:t>
      </w:r>
      <w:r>
        <w:t xml:space="preserve">možnosťou ich </w:t>
      </w:r>
      <w:r w:rsidR="003860DB">
        <w:t xml:space="preserve">konfiguračného </w:t>
      </w:r>
      <w:r>
        <w:t xml:space="preserve">obmedzenia na základe zoznamu </w:t>
      </w:r>
      <w:proofErr w:type="spellStart"/>
      <w:r>
        <w:t>mimetype</w:t>
      </w:r>
      <w:proofErr w:type="spellEnd"/>
      <w:r>
        <w:t>/</w:t>
      </w:r>
      <w:proofErr w:type="spellStart"/>
      <w:r>
        <w:t>Content</w:t>
      </w:r>
      <w:proofErr w:type="spellEnd"/>
      <w:r>
        <w:t>-Type</w:t>
      </w:r>
      <w:r w:rsidR="00694CFC">
        <w:t>,</w:t>
      </w:r>
      <w:r>
        <w:t xml:space="preserve"> </w:t>
      </w:r>
    </w:p>
    <w:p w14:paraId="5229977C" w14:textId="414EF8FD" w:rsidR="00911FCC" w:rsidRPr="00694CFC" w:rsidRDefault="00973AAF" w:rsidP="00694CFC">
      <w:pPr>
        <w:pStyle w:val="OPZBullet1Continue"/>
      </w:pPr>
      <w:r w:rsidRPr="00694CFC">
        <w:t>P</w:t>
      </w:r>
      <w:r w:rsidR="00911FCC" w:rsidRPr="00694CFC">
        <w:t>oskytovanie informácie o pripojení časovej pečiatky k podpisom v prijatých podaniach a ich prílohách ako aj  poskytovanie týchto dokumentov s pripojenými časovými pečiatkami</w:t>
      </w:r>
      <w:r w:rsidR="003115FC" w:rsidRPr="00694CFC">
        <w:t xml:space="preserve"> (namiesto doterajšieho ukladania iba v lokálnom archíve CEP v rámci procesu overenia podpisov)</w:t>
      </w:r>
      <w:r w:rsidR="00911FCC" w:rsidRPr="00694CFC">
        <w:t xml:space="preserve">, </w:t>
      </w:r>
    </w:p>
    <w:p w14:paraId="023E020D" w14:textId="4CD538C5" w:rsidR="00911FCC" w:rsidRPr="00694CFC" w:rsidRDefault="001148A3" w:rsidP="00694CFC">
      <w:pPr>
        <w:pStyle w:val="OPZBullet1Continue"/>
      </w:pPr>
      <w:r w:rsidRPr="00694CFC">
        <w:t>M</w:t>
      </w:r>
      <w:r w:rsidR="00911FCC" w:rsidRPr="00694CFC">
        <w:t xml:space="preserve">ožnosť detekcie formátu podpisu pri asynchrónnej validácii </w:t>
      </w:r>
      <w:r w:rsidRPr="00694CFC">
        <w:t xml:space="preserve">(namiesto doterajšieho ukončenia </w:t>
      </w:r>
      <w:r w:rsidR="00911FCC" w:rsidRPr="00694CFC">
        <w:t xml:space="preserve">chybou, ak </w:t>
      </w:r>
      <w:r w:rsidRPr="00694CFC">
        <w:t>bol</w:t>
      </w:r>
      <w:r w:rsidR="00911FCC" w:rsidRPr="00694CFC">
        <w:t xml:space="preserve"> </w:t>
      </w:r>
      <w:proofErr w:type="spellStart"/>
      <w:r w:rsidR="00911FCC" w:rsidRPr="00694CFC">
        <w:t>mimetype</w:t>
      </w:r>
      <w:proofErr w:type="spellEnd"/>
      <w:r w:rsidR="00911FCC" w:rsidRPr="00694CFC">
        <w:t xml:space="preserve"> </w:t>
      </w:r>
      <w:r w:rsidR="00E7501A" w:rsidRPr="00694CFC">
        <w:t>nad rámec</w:t>
      </w:r>
      <w:r w:rsidR="00911FCC" w:rsidRPr="00694CFC">
        <w:t xml:space="preserve"> zoznamu podporovaných</w:t>
      </w:r>
      <w:r w:rsidR="00A37589">
        <w:t>,</w:t>
      </w:r>
      <w:r w:rsidR="00911FCC" w:rsidRPr="00694CFC">
        <w:t xml:space="preserve"> napr. </w:t>
      </w:r>
      <w:proofErr w:type="spellStart"/>
      <w:r w:rsidR="00911FCC" w:rsidRPr="00694CFC">
        <w:t>application</w:t>
      </w:r>
      <w:proofErr w:type="spellEnd"/>
      <w:r w:rsidR="00911FCC" w:rsidRPr="00694CFC">
        <w:t>/</w:t>
      </w:r>
      <w:proofErr w:type="spellStart"/>
      <w:r w:rsidR="00911FCC" w:rsidRPr="00694CFC">
        <w:t>zip</w:t>
      </w:r>
      <w:proofErr w:type="spellEnd"/>
      <w:r w:rsidR="00911FCC" w:rsidRPr="00694CFC">
        <w:t xml:space="preserve">, </w:t>
      </w:r>
      <w:proofErr w:type="spellStart"/>
      <w:r w:rsidR="00911FCC" w:rsidRPr="00694CFC">
        <w:t>application</w:t>
      </w:r>
      <w:proofErr w:type="spellEnd"/>
      <w:r w:rsidR="00911FCC" w:rsidRPr="00694CFC">
        <w:t>/</w:t>
      </w:r>
      <w:proofErr w:type="spellStart"/>
      <w:r w:rsidR="00911FCC" w:rsidRPr="00694CFC">
        <w:t>xml</w:t>
      </w:r>
      <w:proofErr w:type="spellEnd"/>
      <w:r w:rsidR="00911FCC" w:rsidRPr="00694CFC">
        <w:t xml:space="preserve">, </w:t>
      </w:r>
      <w:proofErr w:type="spellStart"/>
      <w:r w:rsidR="00911FCC" w:rsidRPr="00694CFC">
        <w:t>application</w:t>
      </w:r>
      <w:proofErr w:type="spellEnd"/>
      <w:r w:rsidR="00911FCC" w:rsidRPr="00694CFC">
        <w:t>/</w:t>
      </w:r>
      <w:proofErr w:type="spellStart"/>
      <w:r w:rsidR="00911FCC" w:rsidRPr="00694CFC">
        <w:t>octet</w:t>
      </w:r>
      <w:proofErr w:type="spellEnd"/>
      <w:r w:rsidR="00911FCC" w:rsidRPr="00694CFC">
        <w:t xml:space="preserve">-stream), </w:t>
      </w:r>
    </w:p>
    <w:p w14:paraId="250ECC60" w14:textId="3B39A858" w:rsidR="00911FCC" w:rsidRPr="00694CFC" w:rsidRDefault="00E7501A" w:rsidP="00694CFC">
      <w:pPr>
        <w:pStyle w:val="OPZBullet1Continue"/>
      </w:pPr>
      <w:r w:rsidRPr="00694CFC">
        <w:t>P</w:t>
      </w:r>
      <w:r w:rsidR="00911FCC" w:rsidRPr="00694CFC">
        <w:t xml:space="preserve">odpora pre novšie formáty podpisov podľa ETSI EN špecifikácií (napríklad podpora pre </w:t>
      </w:r>
      <w:proofErr w:type="spellStart"/>
      <w:r w:rsidR="00911FCC" w:rsidRPr="00694CFC">
        <w:t>XAdES</w:t>
      </w:r>
      <w:proofErr w:type="spellEnd"/>
      <w:r w:rsidR="00911FCC" w:rsidRPr="00694CFC">
        <w:t xml:space="preserve"> obsahujúci SigningCertificateV2</w:t>
      </w:r>
      <w:r w:rsidR="00936F7D">
        <w:t>)</w:t>
      </w:r>
      <w:r w:rsidR="00911FCC" w:rsidRPr="00694CFC">
        <w:t xml:space="preserve">, </w:t>
      </w:r>
    </w:p>
    <w:p w14:paraId="2C31835C" w14:textId="4E7DCA09" w:rsidR="00911FCC" w:rsidRPr="00694CFC" w:rsidRDefault="003860DB" w:rsidP="00694CFC">
      <w:pPr>
        <w:pStyle w:val="OPZBullet1Continue"/>
      </w:pPr>
      <w:r w:rsidRPr="00694CFC">
        <w:t>M</w:t>
      </w:r>
      <w:r w:rsidR="00911FCC" w:rsidRPr="00694CFC">
        <w:t>ožnosť chrániť PDF súbory zapečatené s </w:t>
      </w:r>
      <w:proofErr w:type="spellStart"/>
      <w:r w:rsidR="00911FCC" w:rsidRPr="00694CFC">
        <w:t>PAdES</w:t>
      </w:r>
      <w:proofErr w:type="spellEnd"/>
      <w:r w:rsidR="00911FCC" w:rsidRPr="00694CFC">
        <w:t xml:space="preserve"> voči ďalším zmenám (najmä voči vkladaniu anotácií, ktoré môžu uviesť čitateľa PDF súboru do omylu o skutočne podpísanom obsahu), </w:t>
      </w:r>
    </w:p>
    <w:p w14:paraId="63E940E4" w14:textId="63CD6C0A" w:rsidR="00911FCC" w:rsidRPr="00694CFC" w:rsidRDefault="00512078" w:rsidP="00694CFC">
      <w:pPr>
        <w:pStyle w:val="OPZBullet1Continue"/>
      </w:pPr>
      <w:r w:rsidRPr="00694CFC">
        <w:t>Automatická a</w:t>
      </w:r>
      <w:r w:rsidR="009621F0">
        <w:t> </w:t>
      </w:r>
      <w:r w:rsidRPr="00694CFC">
        <w:t>spoľahlivá</w:t>
      </w:r>
      <w:r w:rsidR="00911FCC" w:rsidRPr="00694CFC">
        <w:t xml:space="preserve"> replikáci</w:t>
      </w:r>
      <w:r w:rsidRPr="00694CFC">
        <w:t>a</w:t>
      </w:r>
      <w:r w:rsidR="00911FCC" w:rsidRPr="00694CFC">
        <w:t xml:space="preserve"> formulárov z modulu elektronických formulárov </w:t>
      </w:r>
      <w:r w:rsidRPr="00694CFC">
        <w:t>(namiesto doterajšieho</w:t>
      </w:r>
      <w:r w:rsidR="008E205B" w:rsidRPr="00694CFC">
        <w:t xml:space="preserve"> manuálneho </w:t>
      </w:r>
      <w:proofErr w:type="spellStart"/>
      <w:r w:rsidR="008E205B" w:rsidRPr="00694CFC">
        <w:t>dospracovania</w:t>
      </w:r>
      <w:proofErr w:type="spellEnd"/>
      <w:r w:rsidR="008E205B" w:rsidRPr="00694CFC">
        <w:t xml:space="preserve"> v prípade </w:t>
      </w:r>
      <w:r w:rsidR="00911FCC" w:rsidRPr="00694CFC">
        <w:t>neúspešných replikácií</w:t>
      </w:r>
      <w:r w:rsidR="008E205B" w:rsidRPr="00694CFC">
        <w:t>)</w:t>
      </w:r>
      <w:r w:rsidR="00911FCC" w:rsidRPr="00694CFC">
        <w:t xml:space="preserve">. </w:t>
      </w:r>
    </w:p>
    <w:p w14:paraId="0AB7C953" w14:textId="299690DD" w:rsidR="00A228F1" w:rsidRPr="00D76B51" w:rsidRDefault="00FD3201" w:rsidP="004E3628">
      <w:pPr>
        <w:pStyle w:val="OPZNumbL2"/>
        <w:spacing w:before="120"/>
      </w:pPr>
      <w:r w:rsidRPr="00D76B51">
        <w:t>„</w:t>
      </w:r>
      <w:r w:rsidRPr="00D76B51">
        <w:rPr>
          <w:b/>
          <w:bCs/>
        </w:rPr>
        <w:t>Administračný m</w:t>
      </w:r>
      <w:r w:rsidR="00A228F1" w:rsidRPr="00D76B51">
        <w:rPr>
          <w:b/>
          <w:bCs/>
        </w:rPr>
        <w:t xml:space="preserve">odul </w:t>
      </w:r>
      <w:r w:rsidRPr="00D76B51">
        <w:rPr>
          <w:b/>
          <w:bCs/>
        </w:rPr>
        <w:t>pre CEP</w:t>
      </w:r>
      <w:r w:rsidRPr="00D76B51">
        <w:t>“</w:t>
      </w:r>
      <w:r w:rsidR="00F8566D" w:rsidRPr="00D76B51">
        <w:t xml:space="preserve"> s plným prístupom pre manažment CEP</w:t>
      </w:r>
      <w:r w:rsidR="002F2773" w:rsidRPr="00D76B51">
        <w:t xml:space="preserve"> a služieb</w:t>
      </w:r>
      <w:r w:rsidR="00645A2D" w:rsidRPr="00D76B51">
        <w:t>,</w:t>
      </w:r>
      <w:r w:rsidR="00A228F1" w:rsidRPr="00D76B51">
        <w:t xml:space="preserve"> vrátane GUI rozhrania pre</w:t>
      </w:r>
      <w:r w:rsidR="00E457CC" w:rsidRPr="00D76B51">
        <w:t xml:space="preserve"> </w:t>
      </w:r>
      <w:r w:rsidR="00A228F1" w:rsidRPr="00D76B51">
        <w:t>L2 podporu</w:t>
      </w:r>
      <w:r w:rsidR="006C1D9C" w:rsidRPr="00D76B51">
        <w:t xml:space="preserve"> NA</w:t>
      </w:r>
      <w:r w:rsidR="002F2773" w:rsidRPr="00D76B51">
        <w:t>SE</w:t>
      </w:r>
      <w:r w:rsidR="006C1D9C" w:rsidRPr="00D76B51">
        <w:t>S</w:t>
      </w:r>
      <w:r w:rsidR="00EE3899" w:rsidRPr="00D76B51">
        <w:t xml:space="preserve"> pre incident manažment</w:t>
      </w:r>
      <w:r w:rsidR="002F2773" w:rsidRPr="00D76B51">
        <w:t xml:space="preserve">. </w:t>
      </w:r>
    </w:p>
    <w:p w14:paraId="6E1E938F" w14:textId="2BE3DF2B" w:rsidR="00A228F1" w:rsidRPr="00787D88" w:rsidRDefault="005B77CD" w:rsidP="00FF0AC5">
      <w:pPr>
        <w:ind w:left="794" w:right="-198"/>
      </w:pPr>
      <w:r w:rsidRPr="00787D88">
        <w:t>Verejný obstarávateľ požaduje všetky Funkčné celky</w:t>
      </w:r>
      <w:r w:rsidR="00A47E08" w:rsidRPr="00787D88">
        <w:t>/moduly</w:t>
      </w:r>
      <w:r w:rsidR="00A228F1" w:rsidRPr="00787D88">
        <w:t xml:space="preserve"> </w:t>
      </w:r>
      <w:r w:rsidRPr="00787D88">
        <w:t>vy</w:t>
      </w:r>
      <w:r w:rsidR="007D4B47" w:rsidRPr="00787D88">
        <w:t>tvori</w:t>
      </w:r>
      <w:r w:rsidRPr="00787D88">
        <w:t>ť a</w:t>
      </w:r>
      <w:r w:rsidR="00AA005C">
        <w:t> </w:t>
      </w:r>
      <w:r w:rsidRPr="00787D88">
        <w:t>dodať v</w:t>
      </w:r>
      <w:r w:rsidR="00A47E08" w:rsidRPr="00787D88">
        <w:t> </w:t>
      </w:r>
      <w:r w:rsidRPr="00787D88">
        <w:t>súlade s</w:t>
      </w:r>
      <w:r w:rsidR="00A47E08" w:rsidRPr="00787D88">
        <w:t> </w:t>
      </w:r>
      <w:r w:rsidR="00A228F1" w:rsidRPr="00787D88">
        <w:t>funkčný</w:t>
      </w:r>
      <w:r w:rsidRPr="00787D88">
        <w:t>mi</w:t>
      </w:r>
      <w:r w:rsidR="00A228F1" w:rsidRPr="00787D88">
        <w:t xml:space="preserve"> a nefunkčný</w:t>
      </w:r>
      <w:r w:rsidRPr="00787D88">
        <w:t>mi</w:t>
      </w:r>
      <w:r w:rsidR="00A228F1" w:rsidRPr="00787D88">
        <w:t xml:space="preserve"> </w:t>
      </w:r>
      <w:r w:rsidR="00A228F1" w:rsidRPr="007306A0">
        <w:t>požiadavk</w:t>
      </w:r>
      <w:r w:rsidRPr="007306A0">
        <w:t>ami</w:t>
      </w:r>
      <w:r w:rsidR="00A228F1" w:rsidRPr="007306A0">
        <w:t>, v</w:t>
      </w:r>
      <w:r w:rsidR="009735B6" w:rsidRPr="007306A0">
        <w:t> </w:t>
      </w:r>
      <w:r w:rsidR="00A228F1" w:rsidRPr="007306A0">
        <w:t>rozsahu</w:t>
      </w:r>
      <w:r w:rsidR="009735B6" w:rsidRPr="007306A0">
        <w:t>,</w:t>
      </w:r>
      <w:r w:rsidR="00A228F1" w:rsidRPr="007306A0">
        <w:t xml:space="preserve"> podľa podmienok a pri</w:t>
      </w:r>
      <w:r w:rsidR="007D4B47" w:rsidRPr="007306A0">
        <w:t> </w:t>
      </w:r>
      <w:r w:rsidR="00A228F1" w:rsidRPr="007306A0">
        <w:t xml:space="preserve">zachovaní požadovaných technických, bezpečnostných a iných vlastností diela, </w:t>
      </w:r>
      <w:r w:rsidRPr="007306A0">
        <w:t>podľa</w:t>
      </w:r>
      <w:r w:rsidR="00A228F1" w:rsidRPr="007306A0">
        <w:t xml:space="preserve"> </w:t>
      </w:r>
      <w:bookmarkStart w:id="0" w:name="_Hlk178167565"/>
      <w:r w:rsidR="00A228F1" w:rsidRPr="007306A0">
        <w:t>Príloh</w:t>
      </w:r>
      <w:r w:rsidRPr="007306A0">
        <w:t>y</w:t>
      </w:r>
      <w:r w:rsidR="00A228F1" w:rsidRPr="007306A0">
        <w:t xml:space="preserve"> č.</w:t>
      </w:r>
      <w:r w:rsidR="002718D2" w:rsidRPr="007306A0">
        <w:t> </w:t>
      </w:r>
      <w:r w:rsidR="00EA2CC0">
        <w:t>18</w:t>
      </w:r>
      <w:r w:rsidR="00A228F1" w:rsidRPr="007306A0">
        <w:t xml:space="preserve"> </w:t>
      </w:r>
      <w:r w:rsidR="009735B6" w:rsidRPr="007306A0">
        <w:t>„</w:t>
      </w:r>
      <w:r w:rsidR="008D1C69" w:rsidRPr="007306A0">
        <w:t xml:space="preserve">Katalóg požiadaviek </w:t>
      </w:r>
      <w:r w:rsidR="00242242" w:rsidRPr="007306A0">
        <w:t>–</w:t>
      </w:r>
      <w:r w:rsidR="008D1C69" w:rsidRPr="007306A0">
        <w:t xml:space="preserve"> </w:t>
      </w:r>
      <w:r w:rsidR="0069244A" w:rsidRPr="007306A0">
        <w:rPr>
          <w:shd w:val="clear" w:color="auto" w:fill="FFFFFF"/>
        </w:rPr>
        <w:t>CEP</w:t>
      </w:r>
      <w:bookmarkEnd w:id="0"/>
      <w:r w:rsidR="009735B6" w:rsidRPr="007306A0">
        <w:t>“</w:t>
      </w:r>
      <w:r w:rsidR="00EA2CC0">
        <w:t xml:space="preserve"> Súťažných podkladov</w:t>
      </w:r>
      <w:r w:rsidR="00A228F1" w:rsidRPr="007306A0">
        <w:t>.</w:t>
      </w:r>
    </w:p>
    <w:p w14:paraId="5B79FC23" w14:textId="430E907B" w:rsidR="00A228F1" w:rsidRPr="00787D88" w:rsidRDefault="00747FE9" w:rsidP="00E82077">
      <w:pPr>
        <w:pStyle w:val="OPZNumbered"/>
        <w:numPr>
          <w:ilvl w:val="0"/>
          <w:numId w:val="8"/>
        </w:numPr>
        <w:ind w:left="794" w:hanging="454"/>
      </w:pPr>
      <w:r w:rsidRPr="00787D88">
        <w:t>Poskytnut</w:t>
      </w:r>
      <w:r w:rsidR="006978B9" w:rsidRPr="00787D88">
        <w:t>ie i</w:t>
      </w:r>
      <w:r w:rsidR="00A228F1" w:rsidRPr="00787D88">
        <w:t>ntern</w:t>
      </w:r>
      <w:r w:rsidR="006978B9" w:rsidRPr="00787D88">
        <w:t>ých</w:t>
      </w:r>
      <w:r w:rsidR="00A228F1" w:rsidRPr="00787D88">
        <w:t xml:space="preserve"> a extern</w:t>
      </w:r>
      <w:r w:rsidR="006978B9" w:rsidRPr="00787D88">
        <w:t>ých</w:t>
      </w:r>
      <w:r w:rsidR="00A228F1" w:rsidRPr="00787D88">
        <w:t xml:space="preserve"> služ</w:t>
      </w:r>
      <w:r w:rsidR="006978B9" w:rsidRPr="00787D88">
        <w:t>ie</w:t>
      </w:r>
      <w:r w:rsidR="00A228F1" w:rsidRPr="00787D88">
        <w:t>b</w:t>
      </w:r>
      <w:r w:rsidR="006978B9" w:rsidRPr="00787D88">
        <w:t>, umožňujúcich</w:t>
      </w:r>
      <w:r w:rsidR="005B77CD" w:rsidRPr="00787D88">
        <w:t>:</w:t>
      </w:r>
    </w:p>
    <w:p w14:paraId="71CAC0B9" w14:textId="6920FF38" w:rsidR="00A228F1" w:rsidRPr="002F6333" w:rsidRDefault="00A228F1" w:rsidP="00F43CF4">
      <w:pPr>
        <w:pStyle w:val="OPZNumbL2"/>
        <w:numPr>
          <w:ilvl w:val="0"/>
          <w:numId w:val="7"/>
        </w:numPr>
        <w:ind w:left="1247" w:hanging="340"/>
      </w:pPr>
      <w:r w:rsidRPr="002F6333">
        <w:t>Publikovanie spätne kompatibilných služieb modul</w:t>
      </w:r>
      <w:r w:rsidR="00D54C5A" w:rsidRPr="002F6333">
        <w:t xml:space="preserve">u CEP ÚPVS </w:t>
      </w:r>
      <w:r w:rsidRPr="002F6333">
        <w:t xml:space="preserve">v zmysle </w:t>
      </w:r>
      <w:r w:rsidR="006978B9" w:rsidRPr="002F6333">
        <w:t>integr</w:t>
      </w:r>
      <w:r w:rsidR="0034691E" w:rsidRPr="002F6333">
        <w:t>ačných služieb pre</w:t>
      </w:r>
      <w:r w:rsidR="006978B9" w:rsidRPr="002F6333">
        <w:t xml:space="preserve"> </w:t>
      </w:r>
      <w:r w:rsidRPr="002F6333">
        <w:t>extern</w:t>
      </w:r>
      <w:r w:rsidR="002E7BD2" w:rsidRPr="002F6333">
        <w:t>é</w:t>
      </w:r>
      <w:r w:rsidRPr="002F6333">
        <w:t xml:space="preserve"> subjekt</w:t>
      </w:r>
      <w:r w:rsidR="002E7BD2" w:rsidRPr="002F6333">
        <w:t>y</w:t>
      </w:r>
      <w:r w:rsidRPr="002F6333">
        <w:t xml:space="preserve"> podľa aktuálne platného integračného manuálu (viac v časti Zoznam pojmov).</w:t>
      </w:r>
      <w:r w:rsidR="002E7BD2" w:rsidRPr="002F6333">
        <w:t xml:space="preserve"> </w:t>
      </w:r>
    </w:p>
    <w:p w14:paraId="0A507CA3" w14:textId="51EED542" w:rsidR="00A228F1" w:rsidRPr="002F6333" w:rsidRDefault="00A228F1" w:rsidP="00E82077">
      <w:pPr>
        <w:pStyle w:val="OPZNumbL2"/>
        <w:numPr>
          <w:ilvl w:val="0"/>
          <w:numId w:val="7"/>
        </w:numPr>
        <w:ind w:left="1247" w:hanging="340"/>
      </w:pPr>
      <w:r w:rsidRPr="002F6333">
        <w:t>Publikovanie spätne kompatibilných interných služieb pre moduly ÚPVS (</w:t>
      </w:r>
      <w:r w:rsidR="002D56E2" w:rsidRPr="002F6333">
        <w:t>napríklad G2G, eDesk, Konštruktor správy, CUD, CUET, MDU, MEP) podľa aktuálne platného integračného manuálu (viac v časti Zoznam pojmov)</w:t>
      </w:r>
      <w:r w:rsidRPr="002F6333">
        <w:t>.</w:t>
      </w:r>
      <w:r w:rsidR="002D56E2" w:rsidRPr="002F6333">
        <w:t xml:space="preserve"> </w:t>
      </w:r>
    </w:p>
    <w:p w14:paraId="4CCA1D68" w14:textId="63560149" w:rsidR="00A228F1" w:rsidRPr="002F6333" w:rsidRDefault="00A228F1" w:rsidP="00E82077">
      <w:pPr>
        <w:pStyle w:val="OPZNumbL2"/>
        <w:numPr>
          <w:ilvl w:val="0"/>
          <w:numId w:val="7"/>
        </w:numPr>
        <w:ind w:left="1247" w:hanging="340"/>
      </w:pPr>
      <w:r w:rsidRPr="002F6333">
        <w:t>Publikovanie nových optimalizovaných REST služieb modul</w:t>
      </w:r>
      <w:r w:rsidR="00354164" w:rsidRPr="002F6333">
        <w:t xml:space="preserve">u CEP </w:t>
      </w:r>
      <w:r w:rsidRPr="002F6333">
        <w:t xml:space="preserve">v zmysle princípu API </w:t>
      </w:r>
      <w:proofErr w:type="spellStart"/>
      <w:r w:rsidRPr="002F6333">
        <w:t>first</w:t>
      </w:r>
      <w:proofErr w:type="spellEnd"/>
      <w:r w:rsidRPr="002F6333">
        <w:t>.</w:t>
      </w:r>
      <w:r w:rsidR="00354164" w:rsidRPr="002F6333">
        <w:t xml:space="preserve"> </w:t>
      </w:r>
    </w:p>
    <w:p w14:paraId="00D6EE5C" w14:textId="77A263E8" w:rsidR="00A228F1" w:rsidRPr="000B18BF" w:rsidRDefault="006978B9" w:rsidP="00AC3EC7">
      <w:pPr>
        <w:ind w:left="794" w:right="-198"/>
        <w:rPr>
          <w:highlight w:val="yellow"/>
        </w:rPr>
      </w:pPr>
      <w:r w:rsidRPr="00787D88">
        <w:t>Verejný obstarávateľ požaduje všetky interné a externé služby dodať v</w:t>
      </w:r>
      <w:r w:rsidR="004B0DFE" w:rsidRPr="00787D88">
        <w:t> </w:t>
      </w:r>
      <w:r w:rsidRPr="00787D88">
        <w:t>súlade s</w:t>
      </w:r>
      <w:r w:rsidR="004B0DFE" w:rsidRPr="00787D88">
        <w:t> </w:t>
      </w:r>
      <w:r w:rsidRPr="00787D88">
        <w:t>funkčnými a nefunkčnými požiadavkami, v</w:t>
      </w:r>
      <w:r w:rsidR="004B0DFE" w:rsidRPr="00787D88">
        <w:t> </w:t>
      </w:r>
      <w:r w:rsidRPr="00787D88">
        <w:t>rozsahu</w:t>
      </w:r>
      <w:r w:rsidR="004B0DFE" w:rsidRPr="00787D88">
        <w:t xml:space="preserve">, </w:t>
      </w:r>
      <w:r w:rsidRPr="00787D88">
        <w:t>podľa podmienok a</w:t>
      </w:r>
      <w:r w:rsidR="005A2B09">
        <w:t> </w:t>
      </w:r>
      <w:r w:rsidRPr="00787D88">
        <w:t>pri</w:t>
      </w:r>
      <w:r w:rsidR="005A2B09">
        <w:t xml:space="preserve"> </w:t>
      </w:r>
      <w:r w:rsidRPr="00787D88">
        <w:t>zachovaní požadovaných technických, bezpečnostných a iných vlastností diela</w:t>
      </w:r>
      <w:r w:rsidRPr="007306A0">
        <w:t>, podľa Prílohy č.</w:t>
      </w:r>
      <w:r w:rsidR="00E07CB7" w:rsidRPr="007306A0">
        <w:t> </w:t>
      </w:r>
      <w:r w:rsidR="005B6EF8">
        <w:t>18</w:t>
      </w:r>
      <w:r w:rsidRPr="007306A0">
        <w:t xml:space="preserve"> „</w:t>
      </w:r>
      <w:r w:rsidR="00C60C94" w:rsidRPr="007306A0">
        <w:t xml:space="preserve">Katalóg požiadaviek </w:t>
      </w:r>
      <w:r w:rsidR="00242242" w:rsidRPr="007306A0">
        <w:t>–</w:t>
      </w:r>
      <w:r w:rsidR="00C60C94" w:rsidRPr="007306A0">
        <w:t xml:space="preserve"> </w:t>
      </w:r>
      <w:r w:rsidR="00FA26AD" w:rsidRPr="007306A0">
        <w:rPr>
          <w:shd w:val="clear" w:color="auto" w:fill="FFFFFF"/>
        </w:rPr>
        <w:t>CEP</w:t>
      </w:r>
      <w:r w:rsidRPr="007306A0">
        <w:t>“</w:t>
      </w:r>
      <w:r w:rsidR="005B6EF8">
        <w:t xml:space="preserve"> Súťažných podkladov</w:t>
      </w:r>
      <w:r w:rsidR="009735B6" w:rsidRPr="007306A0">
        <w:t>.</w:t>
      </w:r>
    </w:p>
    <w:p w14:paraId="5082EF27" w14:textId="363CECCF" w:rsidR="00A228F1" w:rsidRPr="00F04279" w:rsidRDefault="00747FE9" w:rsidP="00E82077">
      <w:pPr>
        <w:pStyle w:val="OPZNumbered"/>
        <w:numPr>
          <w:ilvl w:val="0"/>
          <w:numId w:val="8"/>
        </w:numPr>
        <w:ind w:left="794" w:hanging="454"/>
      </w:pPr>
      <w:r w:rsidRPr="00F04279">
        <w:t>P</w:t>
      </w:r>
      <w:r w:rsidR="00A228F1" w:rsidRPr="00F04279">
        <w:t>oskytnutie</w:t>
      </w:r>
      <w:r w:rsidR="006B2EB7" w:rsidRPr="00F04279">
        <w:t xml:space="preserve"> migračných</w:t>
      </w:r>
      <w:r w:rsidR="00A228F1" w:rsidRPr="00F04279">
        <w:t xml:space="preserve"> služieb</w:t>
      </w:r>
      <w:r w:rsidR="006B2EB7" w:rsidRPr="00F04279">
        <w:t xml:space="preserve"> a služieb podpory a údržby informačného systému</w:t>
      </w:r>
      <w:r w:rsidR="00A228F1" w:rsidRPr="00F04279">
        <w:t>:</w:t>
      </w:r>
    </w:p>
    <w:p w14:paraId="4A1D79B2" w14:textId="160C9237" w:rsidR="00A228F1" w:rsidRPr="00453EEE" w:rsidRDefault="00A228F1" w:rsidP="004E3628">
      <w:pPr>
        <w:pStyle w:val="OPZNumbL2"/>
        <w:numPr>
          <w:ilvl w:val="0"/>
          <w:numId w:val="13"/>
        </w:numPr>
      </w:pPr>
      <w:r w:rsidRPr="00453EEE">
        <w:t>Import a validácia migračnej dávky</w:t>
      </w:r>
      <w:r w:rsidR="003E5E6A" w:rsidRPr="00453EEE">
        <w:t>, poskytnutej verejným obstarávateľom</w:t>
      </w:r>
      <w:r w:rsidRPr="00453EEE">
        <w:t xml:space="preserve"> z</w:t>
      </w:r>
      <w:r w:rsidR="002D096D" w:rsidRPr="00453EEE">
        <w:t xml:space="preserve"> CEP </w:t>
      </w:r>
      <w:r w:rsidRPr="00453EEE">
        <w:t xml:space="preserve">ÚPVS </w:t>
      </w:r>
      <w:r w:rsidR="002D096D" w:rsidRPr="00453EEE">
        <w:t>(konkrétne archív CRL</w:t>
      </w:r>
      <w:r w:rsidR="00B04ABC">
        <w:t xml:space="preserve"> a certifikátov</w:t>
      </w:r>
      <w:r w:rsidR="002D096D" w:rsidRPr="00453EEE">
        <w:t>, archív podpisov s pripojenou časovou pečiatkou a archív zreplikovaných schém formulárov, ktoré poskytne Obstarávateľ)</w:t>
      </w:r>
      <w:r w:rsidR="00D675AB" w:rsidRPr="00453EEE">
        <w:t xml:space="preserve"> </w:t>
      </w:r>
      <w:r w:rsidRPr="00453EEE">
        <w:t xml:space="preserve">do </w:t>
      </w:r>
      <w:r w:rsidR="002D096D" w:rsidRPr="00453EEE">
        <w:t>CEP 3</w:t>
      </w:r>
      <w:r w:rsidR="00926D0D" w:rsidRPr="00453EEE">
        <w:t>.0</w:t>
      </w:r>
      <w:r w:rsidR="00FF1419" w:rsidRPr="00453EEE">
        <w:t>.</w:t>
      </w:r>
      <w:r w:rsidR="00D675AB" w:rsidRPr="00453EEE">
        <w:t xml:space="preserve"> </w:t>
      </w:r>
    </w:p>
    <w:p w14:paraId="4BBB44BA" w14:textId="2ACC39F1" w:rsidR="003C7CAC" w:rsidRPr="00F04279" w:rsidRDefault="003C7CAC" w:rsidP="00645B74">
      <w:pPr>
        <w:pStyle w:val="OPZNumbL2"/>
      </w:pPr>
      <w:r w:rsidRPr="00F04279">
        <w:t>Poskytovanie dát do DWH s </w:t>
      </w:r>
      <w:proofErr w:type="spellStart"/>
      <w:r w:rsidRPr="00F04279">
        <w:t>retenciou</w:t>
      </w:r>
      <w:proofErr w:type="spellEnd"/>
      <w:r w:rsidRPr="00F04279">
        <w:t xml:space="preserve"> D+1. </w:t>
      </w:r>
    </w:p>
    <w:p w14:paraId="67D26E63" w14:textId="4246A3B4" w:rsidR="00A228F1" w:rsidRPr="00E201C9" w:rsidRDefault="00A228F1" w:rsidP="006218D1">
      <w:pPr>
        <w:pStyle w:val="OPZNumbL2"/>
      </w:pPr>
      <w:proofErr w:type="spellStart"/>
      <w:r w:rsidRPr="00E201C9">
        <w:t>Postimplementačná</w:t>
      </w:r>
      <w:proofErr w:type="spellEnd"/>
      <w:r w:rsidRPr="00E201C9">
        <w:t xml:space="preserve"> podpora v rozsahu a </w:t>
      </w:r>
      <w:r w:rsidRPr="007306A0">
        <w:t>podľa podmienok uvedených v Prílohe</w:t>
      </w:r>
      <w:r w:rsidR="00FF1419" w:rsidRPr="007306A0">
        <w:t xml:space="preserve"> č. </w:t>
      </w:r>
      <w:r w:rsidR="005B6EF8">
        <w:t>18</w:t>
      </w:r>
      <w:r w:rsidR="00FF1419" w:rsidRPr="007306A0">
        <w:t xml:space="preserve"> „Katalóg požiadaviek </w:t>
      </w:r>
      <w:r w:rsidR="00B557FD" w:rsidRPr="007306A0">
        <w:t>–</w:t>
      </w:r>
      <w:r w:rsidR="00FF1419" w:rsidRPr="007306A0">
        <w:t xml:space="preserve"> </w:t>
      </w:r>
      <w:r w:rsidR="0069244A" w:rsidRPr="00453EEE">
        <w:t>CEP“</w:t>
      </w:r>
      <w:r w:rsidR="00736C3C">
        <w:t xml:space="preserve"> Súťažných podkladov</w:t>
      </w:r>
      <w:r w:rsidR="00FF1419" w:rsidRPr="007306A0">
        <w:t>.</w:t>
      </w:r>
    </w:p>
    <w:p w14:paraId="3CBCFAA7" w14:textId="44BBC984" w:rsidR="00CB7ED9" w:rsidRPr="00FF1419" w:rsidRDefault="00A228F1" w:rsidP="00645B74">
      <w:pPr>
        <w:pStyle w:val="OPZNumbL2"/>
      </w:pPr>
      <w:r w:rsidRPr="00FF1419">
        <w:t xml:space="preserve">Poskytovanie </w:t>
      </w:r>
      <w:r w:rsidR="00CB7ED9" w:rsidRPr="00FF1419">
        <w:t xml:space="preserve">služieb podpory a údržby </w:t>
      </w:r>
      <w:r w:rsidR="0064783B">
        <w:t>informačného systému</w:t>
      </w:r>
      <w:r w:rsidR="0064783B" w:rsidRPr="00FF1419">
        <w:t xml:space="preserve"> </w:t>
      </w:r>
      <w:r w:rsidR="006B2EB7" w:rsidRPr="00FF1419">
        <w:t>v rozsahu obvyklých služieb/činností L3 podpory informačného systému v súlade s odvetvovými štandardami ITIL po dobu 60 mesiacov (5 rokov) od</w:t>
      </w:r>
      <w:r w:rsidR="00F1131F">
        <w:t xml:space="preserve"> </w:t>
      </w:r>
      <w:r w:rsidR="006B2EB7" w:rsidRPr="00FF1419">
        <w:t xml:space="preserve">prevzatia poslednej časti diela (po riadnom odovzdaní a prevzatí diela vrátane odstránenia všetkých identifikovaných vád diela, resp. po podpise Záverečného akceptačného </w:t>
      </w:r>
      <w:r w:rsidR="006B2EB7" w:rsidRPr="00E03EC3">
        <w:t>protokolu)</w:t>
      </w:r>
      <w:r w:rsidR="00CB7ED9" w:rsidRPr="00E03EC3">
        <w:t>, v rozsahu a podľa podmienok uvedených v </w:t>
      </w:r>
      <w:r w:rsidR="00FF1419" w:rsidRPr="00E03EC3">
        <w:t>Prílohe č. </w:t>
      </w:r>
      <w:r w:rsidR="009321E7">
        <w:t>7</w:t>
      </w:r>
      <w:r w:rsidR="009321E7" w:rsidRPr="00872948">
        <w:t xml:space="preserve"> „</w:t>
      </w:r>
      <w:r w:rsidR="009321E7">
        <w:t xml:space="preserve">Popis biznis </w:t>
      </w:r>
      <w:r w:rsidR="009321E7" w:rsidRPr="00872948">
        <w:t xml:space="preserve">služieb– </w:t>
      </w:r>
      <w:r w:rsidR="009321E7" w:rsidRPr="00872948">
        <w:rPr>
          <w:shd w:val="clear" w:color="auto" w:fill="FFFFFF"/>
        </w:rPr>
        <w:t>CEP</w:t>
      </w:r>
      <w:r w:rsidR="009321E7" w:rsidRPr="00872948">
        <w:t>“</w:t>
      </w:r>
      <w:r w:rsidR="009321E7">
        <w:t xml:space="preserve"> </w:t>
      </w:r>
      <w:r w:rsidR="009321E7" w:rsidRPr="004F0DD5">
        <w:t>Zmluv</w:t>
      </w:r>
      <w:r w:rsidR="009321E7">
        <w:t>y</w:t>
      </w:r>
      <w:r w:rsidR="009321E7" w:rsidRPr="004F0DD5">
        <w:t xml:space="preserve"> o</w:t>
      </w:r>
      <w:r w:rsidR="009321E7">
        <w:t> </w:t>
      </w:r>
      <w:r w:rsidR="009321E7" w:rsidRPr="004F0DD5">
        <w:t>poskytovaní služieb podpory a</w:t>
      </w:r>
      <w:r w:rsidR="009321E7">
        <w:t> </w:t>
      </w:r>
      <w:r w:rsidR="009321E7" w:rsidRPr="004F0DD5">
        <w:t>údržby informačného systému</w:t>
      </w:r>
      <w:r w:rsidR="009321E7" w:rsidRPr="00E03EC3">
        <w:t xml:space="preserve"> </w:t>
      </w:r>
      <w:r w:rsidR="008B1398" w:rsidRPr="00E03EC3">
        <w:t>formou:</w:t>
      </w:r>
    </w:p>
    <w:p w14:paraId="38E8ABEA" w14:textId="30D319F1" w:rsidR="00CB7ED9" w:rsidRDefault="00084E97" w:rsidP="00CB52E2">
      <w:pPr>
        <w:pStyle w:val="OPZBullet1Continue"/>
        <w:ind w:right="-28"/>
      </w:pPr>
      <w:r>
        <w:t>P</w:t>
      </w:r>
      <w:r w:rsidR="008B1398" w:rsidRPr="008B1398">
        <w:t>oskytovania Základných služieb za</w:t>
      </w:r>
      <w:r w:rsidR="00F5493B">
        <w:t> </w:t>
      </w:r>
      <w:r w:rsidR="008B1398" w:rsidRPr="008B1398">
        <w:t>účelom riešenia incidentov, problémov, nasadzovania aktualizácií a</w:t>
      </w:r>
      <w:r w:rsidR="00F5493B">
        <w:t> </w:t>
      </w:r>
      <w:r w:rsidR="008B1398" w:rsidRPr="008B1398">
        <w:t xml:space="preserve">bezpečnostných záplat jednotlivých </w:t>
      </w:r>
      <w:r w:rsidRPr="00787D88">
        <w:t>Funkčných celkov/modulov</w:t>
      </w:r>
      <w:r w:rsidR="008B1398" w:rsidRPr="008B1398">
        <w:t xml:space="preserve"> informačného systému, ako aj identifikácie možností pre</w:t>
      </w:r>
      <w:r w:rsidR="00F1131F">
        <w:t xml:space="preserve"> </w:t>
      </w:r>
      <w:r w:rsidR="008B1398" w:rsidRPr="008B1398">
        <w:t>zlepšovanie výkonu informačného systému</w:t>
      </w:r>
      <w:r>
        <w:t>.</w:t>
      </w:r>
    </w:p>
    <w:p w14:paraId="3F251D12" w14:textId="6E33D1EA" w:rsidR="00084E97" w:rsidRPr="008B1398" w:rsidRDefault="00084E97" w:rsidP="00EC0CAA">
      <w:pPr>
        <w:pStyle w:val="OPZBullet1Continue"/>
        <w:ind w:right="-28"/>
      </w:pPr>
      <w:r>
        <w:t>P</w:t>
      </w:r>
      <w:r w:rsidRPr="00084E97">
        <w:t>oskytovania Služieb na</w:t>
      </w:r>
      <w:r w:rsidR="00F5493B">
        <w:t> </w:t>
      </w:r>
      <w:r w:rsidRPr="00084E97">
        <w:t>vyžiadanie na</w:t>
      </w:r>
      <w:r w:rsidR="00F5493B">
        <w:t> </w:t>
      </w:r>
      <w:r w:rsidRPr="00084E97">
        <w:t>základe písomných objednávok verejného obstarávateľa, zameraných na</w:t>
      </w:r>
      <w:r w:rsidR="00F5493B">
        <w:t> </w:t>
      </w:r>
      <w:r w:rsidRPr="00084E97">
        <w:t>rozvoj informačného systému a</w:t>
      </w:r>
      <w:r w:rsidR="00F5493B">
        <w:t> </w:t>
      </w:r>
      <w:r w:rsidRPr="00084E97">
        <w:t>s</w:t>
      </w:r>
      <w:r w:rsidR="00F5493B">
        <w:t> </w:t>
      </w:r>
      <w:r w:rsidRPr="00084E97">
        <w:t>ním súvisiace rozširovanie a</w:t>
      </w:r>
      <w:r w:rsidR="002555BB">
        <w:t> </w:t>
      </w:r>
      <w:r w:rsidRPr="00084E97">
        <w:t>zmeny Funkčných a Nefunkčných vlastností informačného systému, implementáciu proaktívnych, preventívnych opatrení na</w:t>
      </w:r>
      <w:r w:rsidR="00F5493B">
        <w:t> </w:t>
      </w:r>
      <w:r w:rsidRPr="00084E97">
        <w:t>zlepšenie, poskytovanie konzultačnej podpory a</w:t>
      </w:r>
      <w:r w:rsidR="00F5493B">
        <w:t> </w:t>
      </w:r>
      <w:r w:rsidRPr="00084E97">
        <w:t>dodatočných školení a</w:t>
      </w:r>
      <w:r w:rsidR="00F5493B">
        <w:t> </w:t>
      </w:r>
      <w:r w:rsidRPr="00084E97">
        <w:t>Služieb odovzdania, poskytnutých pred</w:t>
      </w:r>
      <w:r w:rsidR="00F5493B">
        <w:t> </w:t>
      </w:r>
      <w:r w:rsidRPr="00084E97">
        <w:t>ukončením vykonávania podpory a</w:t>
      </w:r>
      <w:r w:rsidR="00F5493B">
        <w:t> </w:t>
      </w:r>
      <w:r w:rsidRPr="00084E97">
        <w:t>údržby informačného systému, zameraných na</w:t>
      </w:r>
      <w:r w:rsidR="00F5493B">
        <w:t> </w:t>
      </w:r>
      <w:r w:rsidRPr="00084E97">
        <w:t>zabezpečenie hladkého prechodu poskytovania služieb (po 60 mesiacoch) na</w:t>
      </w:r>
      <w:r w:rsidR="00F5493B">
        <w:t> </w:t>
      </w:r>
      <w:r w:rsidRPr="00084E97">
        <w:t>verejného obstarávateľa alebo verejným obstarávateľom určeného iného poskytovateľa. Služby na</w:t>
      </w:r>
      <w:r w:rsidR="00870347">
        <w:t> </w:t>
      </w:r>
      <w:r w:rsidRPr="00084E97">
        <w:t>vyžiadanie a</w:t>
      </w:r>
      <w:r w:rsidR="00870347">
        <w:t> </w:t>
      </w:r>
      <w:r w:rsidRPr="00084E97">
        <w:t>Služby odovzdania budú poskytované v</w:t>
      </w:r>
      <w:r w:rsidR="002555BB">
        <w:t> </w:t>
      </w:r>
      <w:r w:rsidRPr="00084E97">
        <w:t>celkovom rozsahu max. 5</w:t>
      </w:r>
      <w:r w:rsidR="006C47A9">
        <w:t>5</w:t>
      </w:r>
      <w:r w:rsidR="00870347">
        <w:t>0</w:t>
      </w:r>
      <w:r w:rsidRPr="00084E97">
        <w:t xml:space="preserve"> človekodní počas obdobia 60 mesiacov</w:t>
      </w:r>
      <w:r w:rsidR="00870347">
        <w:t xml:space="preserve"> </w:t>
      </w:r>
      <w:r w:rsidR="00130B44">
        <w:t>–</w:t>
      </w:r>
      <w:r w:rsidR="00870347">
        <w:t xml:space="preserve"> </w:t>
      </w:r>
      <w:r w:rsidR="0047380A">
        <w:t>10</w:t>
      </w:r>
      <w:r w:rsidR="00870347" w:rsidRPr="00870347">
        <w:t>0 človekodní za</w:t>
      </w:r>
      <w:r w:rsidR="002555BB">
        <w:t> </w:t>
      </w:r>
      <w:r w:rsidR="00870347" w:rsidRPr="00870347">
        <w:t>12 mesiacov (1 rok) v</w:t>
      </w:r>
      <w:r w:rsidR="002555BB">
        <w:t> </w:t>
      </w:r>
      <w:r w:rsidR="00870347" w:rsidRPr="00870347">
        <w:t>prvých 4 rokoch odo dňa nadobudnutia účinnosti Zmluvy o</w:t>
      </w:r>
      <w:r w:rsidR="002555BB">
        <w:t> </w:t>
      </w:r>
      <w:bookmarkStart w:id="1" w:name="_Hlk178166380"/>
      <w:r w:rsidR="00870347" w:rsidRPr="00870347">
        <w:t>poskytovaní služieb podpory a údržby informačného systému</w:t>
      </w:r>
      <w:bookmarkEnd w:id="1"/>
      <w:r w:rsidR="00870347" w:rsidRPr="00870347">
        <w:t xml:space="preserve"> a</w:t>
      </w:r>
      <w:r w:rsidR="002555BB">
        <w:t> </w:t>
      </w:r>
      <w:r w:rsidR="00870347" w:rsidRPr="00870347">
        <w:t>1</w:t>
      </w:r>
      <w:r w:rsidR="0047380A">
        <w:t>5</w:t>
      </w:r>
      <w:r w:rsidR="00870347" w:rsidRPr="00870347">
        <w:t>0 človekodní za</w:t>
      </w:r>
      <w:r w:rsidR="002555BB">
        <w:t> </w:t>
      </w:r>
      <w:r w:rsidR="00870347" w:rsidRPr="00870347">
        <w:t>12 mesiacov v</w:t>
      </w:r>
      <w:r w:rsidR="002555BB">
        <w:t> </w:t>
      </w:r>
      <w:r w:rsidR="00870347" w:rsidRPr="00870347">
        <w:t>5. roku účinnosti Zmluvy o</w:t>
      </w:r>
      <w:r w:rsidR="002555BB">
        <w:t> </w:t>
      </w:r>
      <w:r w:rsidR="00F421EA" w:rsidRPr="00F421EA">
        <w:t>poskytovaní služieb podpory a údržby informačného systému</w:t>
      </w:r>
      <w:r w:rsidR="00870347" w:rsidRPr="00870347">
        <w:t>.</w:t>
      </w:r>
      <w:r w:rsidR="0047380A">
        <w:t xml:space="preserve"> </w:t>
      </w:r>
    </w:p>
    <w:p w14:paraId="5388D070" w14:textId="1D7B2C98" w:rsidR="00A228F1" w:rsidRPr="00787D88" w:rsidRDefault="00A228F1" w:rsidP="00130B44">
      <w:pPr>
        <w:rPr>
          <w:rFonts w:cstheme="minorHAnsi"/>
        </w:rPr>
      </w:pPr>
      <w:r w:rsidRPr="00787D88">
        <w:t xml:space="preserve">Súčasťou </w:t>
      </w:r>
      <w:r w:rsidR="00682E42" w:rsidRPr="00787D88">
        <w:rPr>
          <w:rFonts w:eastAsia="Times New Roman"/>
          <w:lang w:eastAsia="sk-SK"/>
        </w:rPr>
        <w:t>p</w:t>
      </w:r>
      <w:r w:rsidR="004B0DFE" w:rsidRPr="00787D88">
        <w:rPr>
          <w:rFonts w:eastAsia="Times New Roman"/>
          <w:lang w:eastAsia="sk-SK"/>
        </w:rPr>
        <w:t>redmet</w:t>
      </w:r>
      <w:r w:rsidR="00682E42" w:rsidRPr="00787D88">
        <w:rPr>
          <w:rFonts w:eastAsia="Times New Roman"/>
          <w:lang w:eastAsia="sk-SK"/>
        </w:rPr>
        <w:t>u</w:t>
      </w:r>
      <w:r w:rsidR="004B0DFE" w:rsidRPr="00787D88">
        <w:rPr>
          <w:rFonts w:eastAsia="Times New Roman"/>
          <w:lang w:eastAsia="sk-SK"/>
        </w:rPr>
        <w:t xml:space="preserve"> zákazky</w:t>
      </w:r>
      <w:r w:rsidRPr="00787D88">
        <w:t xml:space="preserve"> </w:t>
      </w:r>
      <w:r w:rsidRPr="00787D88">
        <w:rPr>
          <w:b/>
          <w:bCs/>
        </w:rPr>
        <w:t>nie</w:t>
      </w:r>
      <w:r w:rsidRPr="00130B44">
        <w:t xml:space="preserve"> </w:t>
      </w:r>
      <w:r w:rsidRPr="00787D88">
        <w:rPr>
          <w:b/>
          <w:bCs/>
        </w:rPr>
        <w:t>je</w:t>
      </w:r>
      <w:r w:rsidR="00682E42" w:rsidRPr="00787D88">
        <w:t xml:space="preserve"> dodanie</w:t>
      </w:r>
      <w:r w:rsidRPr="00787D88">
        <w:rPr>
          <w:rFonts w:cstheme="minorHAnsi"/>
        </w:rPr>
        <w:t>:</w:t>
      </w:r>
    </w:p>
    <w:p w14:paraId="268F8CD1" w14:textId="25593EA9" w:rsidR="00A228F1" w:rsidRPr="00787D88" w:rsidRDefault="00A228F1" w:rsidP="00E82077">
      <w:pPr>
        <w:pStyle w:val="ListParagraph"/>
        <w:numPr>
          <w:ilvl w:val="0"/>
          <w:numId w:val="5"/>
        </w:numPr>
        <w:spacing w:before="80"/>
        <w:ind w:left="680" w:hanging="340"/>
      </w:pPr>
      <w:r w:rsidRPr="00787D88">
        <w:t>hardvér</w:t>
      </w:r>
      <w:r w:rsidR="00682E42" w:rsidRPr="00787D88">
        <w:t>u</w:t>
      </w:r>
      <w:r w:rsidRPr="00787D88">
        <w:t xml:space="preserve"> </w:t>
      </w:r>
      <w:r w:rsidR="00682E42" w:rsidRPr="00787D88">
        <w:t xml:space="preserve">(prevádzkovú hardvérovú </w:t>
      </w:r>
      <w:r w:rsidRPr="00787D88">
        <w:t>infraštruktúr</w:t>
      </w:r>
      <w:r w:rsidR="00682E42" w:rsidRPr="00787D88">
        <w:t>u poskytne verejný obstarávateľ),</w:t>
      </w:r>
    </w:p>
    <w:p w14:paraId="6C19E871" w14:textId="6BC5AFC9" w:rsidR="00A228F1" w:rsidRPr="00787D88" w:rsidRDefault="00A228F1" w:rsidP="00E82077">
      <w:pPr>
        <w:pStyle w:val="ListParagraph"/>
        <w:numPr>
          <w:ilvl w:val="0"/>
          <w:numId w:val="5"/>
        </w:numPr>
        <w:spacing w:before="80"/>
        <w:ind w:left="680" w:hanging="340"/>
      </w:pPr>
      <w:r w:rsidRPr="00787D88">
        <w:t>nástroj</w:t>
      </w:r>
      <w:r w:rsidR="00682E42" w:rsidRPr="00787D88">
        <w:t>a</w:t>
      </w:r>
      <w:r w:rsidRPr="00787D88">
        <w:t xml:space="preserve"> na zber logov</w:t>
      </w:r>
      <w:r w:rsidR="00682E42" w:rsidRPr="00787D88">
        <w:t>,</w:t>
      </w:r>
    </w:p>
    <w:p w14:paraId="38F731EF" w14:textId="5DA43DF3" w:rsidR="00A228F1" w:rsidRPr="00787D88" w:rsidRDefault="00A228F1" w:rsidP="00E82077">
      <w:pPr>
        <w:pStyle w:val="ListParagraph"/>
        <w:numPr>
          <w:ilvl w:val="0"/>
          <w:numId w:val="5"/>
        </w:numPr>
        <w:spacing w:before="80"/>
        <w:ind w:left="680" w:hanging="340"/>
      </w:pPr>
      <w:r w:rsidRPr="00787D88">
        <w:t>služby monitorovania a </w:t>
      </w:r>
      <w:proofErr w:type="spellStart"/>
      <w:r w:rsidRPr="00787D88">
        <w:t>reportingu</w:t>
      </w:r>
      <w:proofErr w:type="spellEnd"/>
      <w:r w:rsidRPr="00787D88">
        <w:t xml:space="preserve"> infraštruktúry a prevádzky a iné činnosti v rámci L2 podpory</w:t>
      </w:r>
      <w:r w:rsidR="00682E42" w:rsidRPr="00787D88">
        <w:t>,</w:t>
      </w:r>
    </w:p>
    <w:p w14:paraId="2C35F69B" w14:textId="77777777" w:rsidR="00E201C9" w:rsidRDefault="00682E42" w:rsidP="00E82077">
      <w:pPr>
        <w:pStyle w:val="ListParagraph"/>
        <w:numPr>
          <w:ilvl w:val="0"/>
          <w:numId w:val="5"/>
        </w:numPr>
        <w:spacing w:before="80"/>
        <w:ind w:left="680" w:hanging="340"/>
      </w:pPr>
      <w:r w:rsidRPr="00787D88">
        <w:t xml:space="preserve">služby </w:t>
      </w:r>
      <w:r w:rsidR="00A228F1" w:rsidRPr="00787D88">
        <w:t>export</w:t>
      </w:r>
      <w:r w:rsidRPr="00787D88">
        <w:t>u</w:t>
      </w:r>
      <w:r w:rsidR="00A228F1" w:rsidRPr="00787D88">
        <w:t xml:space="preserve"> dát z</w:t>
      </w:r>
      <w:r w:rsidR="00E201C9">
        <w:t> </w:t>
      </w:r>
      <w:r w:rsidR="00A228F1" w:rsidRPr="00787D88">
        <w:t>pôvodn</w:t>
      </w:r>
      <w:r w:rsidR="00E201C9">
        <w:t xml:space="preserve">ej Centrálnej elektronickej podateľne </w:t>
      </w:r>
      <w:r w:rsidR="00A228F1" w:rsidRPr="00787D88">
        <w:t>ÚPVS</w:t>
      </w:r>
      <w:r w:rsidR="00E201C9">
        <w:t xml:space="preserve">, </w:t>
      </w:r>
    </w:p>
    <w:p w14:paraId="6BBEFCEC" w14:textId="2B1BEECD" w:rsidR="00A228F1" w:rsidRPr="00787D88" w:rsidRDefault="0090080F" w:rsidP="00E82077">
      <w:pPr>
        <w:pStyle w:val="ListParagraph"/>
        <w:numPr>
          <w:ilvl w:val="0"/>
          <w:numId w:val="5"/>
        </w:numPr>
        <w:spacing w:before="80"/>
        <w:ind w:left="680" w:hanging="340"/>
      </w:pPr>
      <w:r>
        <w:t>kvalifikovanej služby časových pečiatok</w:t>
      </w:r>
      <w:r w:rsidR="00A228F1" w:rsidRPr="00787D88">
        <w:t>.</w:t>
      </w:r>
      <w:r>
        <w:t xml:space="preserve"> </w:t>
      </w:r>
    </w:p>
    <w:p w14:paraId="641BE2C6" w14:textId="77777777" w:rsidR="00A228F1" w:rsidRPr="00787D88" w:rsidRDefault="00A228F1" w:rsidP="00C3133B">
      <w:r w:rsidRPr="00C3133B">
        <w:rPr>
          <w:u w:val="single"/>
        </w:rPr>
        <w:t>Dotknutí biznis aktéri a ich role</w:t>
      </w:r>
      <w:r w:rsidRPr="00787D88">
        <w:t>:</w:t>
      </w:r>
    </w:p>
    <w:p w14:paraId="1CD7A8D6" w14:textId="77777777" w:rsidR="00A228F1" w:rsidRPr="00787D88" w:rsidRDefault="00A228F1" w:rsidP="00E82077">
      <w:pPr>
        <w:pStyle w:val="ListParagraph"/>
        <w:numPr>
          <w:ilvl w:val="0"/>
          <w:numId w:val="5"/>
        </w:numPr>
        <w:spacing w:before="80"/>
        <w:ind w:left="680" w:hanging="340"/>
      </w:pPr>
      <w:r w:rsidRPr="00787D88">
        <w:t>FO, FO podnikatelia, PO,</w:t>
      </w:r>
    </w:p>
    <w:p w14:paraId="1874EA98" w14:textId="77777777" w:rsidR="00A228F1" w:rsidRPr="00787D88" w:rsidRDefault="00A228F1" w:rsidP="00E82077">
      <w:pPr>
        <w:pStyle w:val="ListParagraph"/>
        <w:numPr>
          <w:ilvl w:val="0"/>
          <w:numId w:val="5"/>
        </w:numPr>
        <w:spacing w:before="80"/>
        <w:ind w:left="680" w:hanging="340"/>
      </w:pPr>
      <w:r w:rsidRPr="00787D88">
        <w:t>Orgány verejnej moci,</w:t>
      </w:r>
    </w:p>
    <w:p w14:paraId="58587C52" w14:textId="77777777" w:rsidR="00A228F1" w:rsidRPr="00787D88" w:rsidRDefault="00A228F1" w:rsidP="00E82077">
      <w:pPr>
        <w:pStyle w:val="ListParagraph"/>
        <w:numPr>
          <w:ilvl w:val="0"/>
          <w:numId w:val="5"/>
        </w:numPr>
        <w:spacing w:before="80"/>
        <w:ind w:left="680" w:hanging="340"/>
      </w:pPr>
      <w:r w:rsidRPr="00787D88">
        <w:t>Národná agentúra pre sieťové a elektronické služby.</w:t>
      </w:r>
    </w:p>
    <w:p w14:paraId="55A62AFB" w14:textId="307CF1FA" w:rsidR="00A228F1" w:rsidRPr="00787D88" w:rsidRDefault="00752D0A" w:rsidP="00A228F1">
      <w:pPr>
        <w:pStyle w:val="OPZSubtitle"/>
      </w:pPr>
      <w:r w:rsidRPr="00787D88">
        <w:t xml:space="preserve">špecifikácia </w:t>
      </w:r>
      <w:r w:rsidR="00A228F1" w:rsidRPr="00787D88">
        <w:t>Funkčn</w:t>
      </w:r>
      <w:r w:rsidRPr="00787D88">
        <w:t>ých</w:t>
      </w:r>
      <w:r w:rsidR="00A228F1" w:rsidRPr="00787D88">
        <w:t>, nefunkčn</w:t>
      </w:r>
      <w:r w:rsidRPr="00787D88">
        <w:t>ých</w:t>
      </w:r>
      <w:r w:rsidR="00A228F1" w:rsidRPr="00787D88">
        <w:t xml:space="preserve"> a technick</w:t>
      </w:r>
      <w:r w:rsidR="00553CB5">
        <w:t>ých</w:t>
      </w:r>
      <w:r w:rsidR="00A228F1" w:rsidRPr="00787D88">
        <w:t xml:space="preserve"> požiadav</w:t>
      </w:r>
      <w:r w:rsidRPr="00787D88">
        <w:t>ie</w:t>
      </w:r>
      <w:r w:rsidR="00A228F1" w:rsidRPr="00787D88">
        <w:t>k</w:t>
      </w:r>
    </w:p>
    <w:p w14:paraId="62CBCD2D" w14:textId="7725E6E3" w:rsidR="00A228F1" w:rsidRDefault="00A228F1" w:rsidP="00C3133B">
      <w:r w:rsidRPr="00787D88">
        <w:t xml:space="preserve">Funkčné, nefunkčné a technické </w:t>
      </w:r>
      <w:r w:rsidRPr="00787D88">
        <w:rPr>
          <w:color w:val="000000"/>
          <w:shd w:val="clear" w:color="auto" w:fill="FFFFFF"/>
        </w:rPr>
        <w:t>požiadavky</w:t>
      </w:r>
      <w:r w:rsidR="00553CB5">
        <w:rPr>
          <w:color w:val="000000"/>
          <w:shd w:val="clear" w:color="auto" w:fill="FFFFFF"/>
        </w:rPr>
        <w:t xml:space="preserve">, </w:t>
      </w:r>
      <w:r w:rsidR="00553CB5" w:rsidRPr="00787D88">
        <w:t>súvisiac</w:t>
      </w:r>
      <w:r w:rsidR="00553CB5">
        <w:t>e</w:t>
      </w:r>
      <w:r w:rsidR="00553CB5" w:rsidRPr="00787D88">
        <w:t xml:space="preserve"> s vytvorením a dodaním softvérového</w:t>
      </w:r>
      <w:r w:rsidRPr="00787D88">
        <w:rPr>
          <w:color w:val="000000"/>
          <w:shd w:val="clear" w:color="auto" w:fill="FFFFFF"/>
        </w:rPr>
        <w:t xml:space="preserve"> diel</w:t>
      </w:r>
      <w:r w:rsidR="00553CB5">
        <w:rPr>
          <w:color w:val="000000"/>
          <w:shd w:val="clear" w:color="auto" w:fill="FFFFFF"/>
        </w:rPr>
        <w:t>a</w:t>
      </w:r>
      <w:r w:rsidRPr="00787D88">
        <w:rPr>
          <w:color w:val="000000"/>
          <w:shd w:val="clear" w:color="auto" w:fill="FFFFFF"/>
        </w:rPr>
        <w:t xml:space="preserve"> </w:t>
      </w:r>
      <w:r w:rsidRPr="00787D88">
        <w:t xml:space="preserve">sú </w:t>
      </w:r>
      <w:r w:rsidRPr="000E315A">
        <w:t>uvedené v </w:t>
      </w:r>
      <w:r w:rsidR="00553CB5" w:rsidRPr="000E315A">
        <w:t>Prílohe č. </w:t>
      </w:r>
      <w:r w:rsidR="00E05033">
        <w:t>18</w:t>
      </w:r>
      <w:r w:rsidR="00553CB5" w:rsidRPr="000E315A">
        <w:t xml:space="preserve"> „Katalóg požiadaviek </w:t>
      </w:r>
      <w:r w:rsidR="00831E96" w:rsidRPr="000E315A">
        <w:t>–</w:t>
      </w:r>
      <w:r w:rsidR="00553CB5" w:rsidRPr="000E315A">
        <w:t xml:space="preserve"> </w:t>
      </w:r>
      <w:r w:rsidR="00CD4E9F" w:rsidRPr="000E315A">
        <w:rPr>
          <w:shd w:val="clear" w:color="auto" w:fill="FFFFFF"/>
        </w:rPr>
        <w:t>CEP</w:t>
      </w:r>
      <w:r w:rsidR="00E05033" w:rsidRPr="00872948">
        <w:t xml:space="preserve">“ </w:t>
      </w:r>
      <w:r w:rsidR="00E05033">
        <w:t>Súťažných podkladov</w:t>
      </w:r>
      <w:r w:rsidR="00172FBF" w:rsidRPr="000E315A">
        <w:t xml:space="preserve"> a v Prílohe č. </w:t>
      </w:r>
      <w:r w:rsidR="00D22901">
        <w:t>7</w:t>
      </w:r>
      <w:r w:rsidR="00D22901" w:rsidRPr="00872948">
        <w:t xml:space="preserve"> „</w:t>
      </w:r>
      <w:r w:rsidR="00D22901">
        <w:t xml:space="preserve">Popis biznis </w:t>
      </w:r>
      <w:r w:rsidR="00D22901" w:rsidRPr="00872948">
        <w:t xml:space="preserve">služieb– </w:t>
      </w:r>
      <w:r w:rsidR="00D22901" w:rsidRPr="00872948">
        <w:rPr>
          <w:shd w:val="clear" w:color="auto" w:fill="FFFFFF"/>
        </w:rPr>
        <w:t>CEP</w:t>
      </w:r>
      <w:r w:rsidR="00D22901" w:rsidRPr="00872948">
        <w:t>“</w:t>
      </w:r>
      <w:r w:rsidR="00D22901">
        <w:t xml:space="preserve"> </w:t>
      </w:r>
      <w:r w:rsidR="00D22901" w:rsidRPr="004F0DD5">
        <w:t>Zmluv</w:t>
      </w:r>
      <w:r w:rsidR="00D22901">
        <w:t>y</w:t>
      </w:r>
      <w:r w:rsidR="00D22901" w:rsidRPr="004F0DD5">
        <w:t xml:space="preserve"> o</w:t>
      </w:r>
      <w:r w:rsidR="00D22901">
        <w:t> </w:t>
      </w:r>
      <w:r w:rsidR="00D22901" w:rsidRPr="004F0DD5">
        <w:t>poskytovaní služieb podpory a</w:t>
      </w:r>
      <w:r w:rsidR="00D22901">
        <w:t> </w:t>
      </w:r>
      <w:r w:rsidR="00D22901" w:rsidRPr="004F0DD5">
        <w:t>údržby informačného systému</w:t>
      </w:r>
      <w:r w:rsidRPr="000E315A">
        <w:t>.</w:t>
      </w:r>
      <w:r w:rsidR="000D3422">
        <w:t xml:space="preserve"> </w:t>
      </w:r>
    </w:p>
    <w:p w14:paraId="3EDEA6E1" w14:textId="31DE745E" w:rsidR="00052C14" w:rsidRDefault="00052C14" w:rsidP="00052C14">
      <w:r>
        <w:t>V</w:t>
      </w:r>
      <w:r w:rsidR="00135DB1">
        <w:t> </w:t>
      </w:r>
      <w:r>
        <w:t>rámci technického návrhu riešenia je zhotoviteľ povinný dodržať technologické a dátové princípy definované rámcovými dokumentami MIRRI SR (NKIVS a pod.) a príslušnou legislatívou (štandardy a pod.).</w:t>
      </w:r>
    </w:p>
    <w:p w14:paraId="5181D77F" w14:textId="027D0E53" w:rsidR="00052C14" w:rsidRPr="00787D88" w:rsidRDefault="00052C14" w:rsidP="00C3133B">
      <w:r>
        <w:t xml:space="preserve">Súčasťou dodávky musia byť aj zdrojové kódy vrátane všetkých </w:t>
      </w:r>
      <w:proofErr w:type="spellStart"/>
      <w:r>
        <w:t>prerekvizít</w:t>
      </w:r>
      <w:proofErr w:type="spellEnd"/>
      <w:r>
        <w:t xml:space="preserve"> potrebných na ich kompiláciu do „spustiteľnej aplikácie“ (</w:t>
      </w:r>
      <w:proofErr w:type="spellStart"/>
      <w:r>
        <w:t>release</w:t>
      </w:r>
      <w:proofErr w:type="spellEnd"/>
      <w:r>
        <w:t xml:space="preserve"> pre nasadenie) vrátane kompilačného postupu. </w:t>
      </w:r>
      <w:r w:rsidR="003D5EEC" w:rsidRPr="003D5EEC">
        <w:t xml:space="preserve">Pre zabezpečenie </w:t>
      </w:r>
      <w:r>
        <w:t xml:space="preserve">automatizovanej kompilácie balíka je nutné, aby súčasťou dodávky bola </w:t>
      </w:r>
      <w:proofErr w:type="spellStart"/>
      <w:r>
        <w:t>GitLab</w:t>
      </w:r>
      <w:proofErr w:type="spellEnd"/>
      <w:r>
        <w:t xml:space="preserve"> CI/CD </w:t>
      </w:r>
      <w:proofErr w:type="spellStart"/>
      <w:r>
        <w:t>pipeline</w:t>
      </w:r>
      <w:proofErr w:type="spellEnd"/>
      <w:r>
        <w:t>.</w:t>
      </w:r>
    </w:p>
    <w:p w14:paraId="624B7927" w14:textId="2C169A16" w:rsidR="000E1E3B" w:rsidRDefault="00A228F1" w:rsidP="00C3133B">
      <w:r w:rsidRPr="00787D88">
        <w:t>Výstupy/dokumenty v</w:t>
      </w:r>
      <w:r w:rsidR="000E1E3B">
        <w:t> </w:t>
      </w:r>
      <w:r w:rsidRPr="00787D88">
        <w:t>jednotlivých aktivitách/etapách</w:t>
      </w:r>
      <w:r w:rsidR="000E1E3B">
        <w:t xml:space="preserve"> projektu</w:t>
      </w:r>
      <w:r w:rsidRPr="00787D88">
        <w:t xml:space="preserve"> musia byť</w:t>
      </w:r>
      <w:r w:rsidR="000E1E3B">
        <w:t xml:space="preserve"> vytvorené a dodané </w:t>
      </w:r>
      <w:r w:rsidRPr="00787D88">
        <w:t>v súlade s</w:t>
      </w:r>
      <w:r w:rsidR="000E1E3B">
        <w:t>:</w:t>
      </w:r>
    </w:p>
    <w:p w14:paraId="0F8FE34D" w14:textId="45820B42" w:rsidR="000E1E3B" w:rsidRPr="00C3133B" w:rsidRDefault="00A228F1" w:rsidP="00E82077">
      <w:pPr>
        <w:pStyle w:val="ListParagraph"/>
        <w:numPr>
          <w:ilvl w:val="0"/>
          <w:numId w:val="5"/>
        </w:numPr>
        <w:spacing w:before="80"/>
        <w:ind w:left="680" w:hanging="340"/>
      </w:pPr>
      <w:r w:rsidRPr="00787D88">
        <w:t>Vyhláškou č. 401/2023 MIRRI</w:t>
      </w:r>
      <w:r w:rsidR="000E1E3B">
        <w:t xml:space="preserve"> SR</w:t>
      </w:r>
      <w:r w:rsidRPr="00787D88">
        <w:t xml:space="preserve"> o riadení projektov</w:t>
      </w:r>
      <w:r w:rsidRPr="00C3133B">
        <w:t xml:space="preserve"> a</w:t>
      </w:r>
      <w:r w:rsidR="000E1E3B" w:rsidRPr="00C3133B">
        <w:t> </w:t>
      </w:r>
      <w:r w:rsidRPr="00C3133B">
        <w:t>zmenových požiadaviek v</w:t>
      </w:r>
      <w:r w:rsidR="000E1E3B" w:rsidRPr="00C3133B">
        <w:t> </w:t>
      </w:r>
      <w:r w:rsidRPr="00C3133B">
        <w:t>prevádzke informačných technológií verejnej správy</w:t>
      </w:r>
      <w:r w:rsidR="000E1E3B" w:rsidRPr="00C3133B">
        <w:t>,</w:t>
      </w:r>
    </w:p>
    <w:p w14:paraId="3F8B2A10" w14:textId="323F10E6" w:rsidR="00A228F1" w:rsidRPr="00C3133B" w:rsidRDefault="00A228F1" w:rsidP="00E82077">
      <w:pPr>
        <w:pStyle w:val="ListParagraph"/>
        <w:numPr>
          <w:ilvl w:val="0"/>
          <w:numId w:val="5"/>
        </w:numPr>
        <w:spacing w:before="80"/>
        <w:ind w:left="680" w:right="-57" w:hanging="340"/>
      </w:pPr>
      <w:r w:rsidRPr="00C3133B">
        <w:t>P</w:t>
      </w:r>
      <w:r w:rsidR="000E1E3B" w:rsidRPr="00C3133B">
        <w:t>rojektovým inicializačným dokumentom (P</w:t>
      </w:r>
      <w:r w:rsidRPr="00C3133B">
        <w:t>ID</w:t>
      </w:r>
      <w:r w:rsidR="000E1E3B" w:rsidRPr="00C3133B">
        <w:t>)</w:t>
      </w:r>
      <w:r w:rsidRPr="00C3133B">
        <w:t xml:space="preserve"> projektu schváleným R</w:t>
      </w:r>
      <w:r w:rsidR="000E1E3B" w:rsidRPr="00C3133B">
        <w:t>iadiacim výborom projektu</w:t>
      </w:r>
      <w:r w:rsidRPr="00C3133B">
        <w:t>.</w:t>
      </w:r>
    </w:p>
    <w:p w14:paraId="58D9852C" w14:textId="1FD5ABAE" w:rsidR="00A228F1" w:rsidRPr="00787D88" w:rsidRDefault="00752D0A" w:rsidP="00A228F1">
      <w:pPr>
        <w:pStyle w:val="OPZSubtitle"/>
      </w:pPr>
      <w:r w:rsidRPr="00787D88">
        <w:rPr>
          <w:color w:val="000000"/>
          <w:shd w:val="clear" w:color="auto" w:fill="FFFFFF"/>
        </w:rPr>
        <w:t xml:space="preserve">špecifikácia </w:t>
      </w:r>
      <w:r w:rsidR="00A228F1" w:rsidRPr="00787D88">
        <w:rPr>
          <w:color w:val="000000"/>
          <w:shd w:val="clear" w:color="auto" w:fill="FFFFFF"/>
        </w:rPr>
        <w:t>Legislatívn</w:t>
      </w:r>
      <w:r w:rsidRPr="00787D88">
        <w:rPr>
          <w:color w:val="000000"/>
          <w:shd w:val="clear" w:color="auto" w:fill="FFFFFF"/>
        </w:rPr>
        <w:t>ych</w:t>
      </w:r>
      <w:r w:rsidR="00A228F1" w:rsidRPr="00787D88">
        <w:rPr>
          <w:color w:val="000000"/>
          <w:shd w:val="clear" w:color="auto" w:fill="FFFFFF"/>
        </w:rPr>
        <w:t xml:space="preserve"> požiadav</w:t>
      </w:r>
      <w:r w:rsidRPr="00787D88">
        <w:rPr>
          <w:color w:val="000000"/>
          <w:shd w:val="clear" w:color="auto" w:fill="FFFFFF"/>
        </w:rPr>
        <w:t>ie</w:t>
      </w:r>
      <w:r w:rsidR="00A228F1" w:rsidRPr="00787D88">
        <w:rPr>
          <w:color w:val="000000"/>
          <w:shd w:val="clear" w:color="auto" w:fill="FFFFFF"/>
        </w:rPr>
        <w:t>k</w:t>
      </w:r>
    </w:p>
    <w:p w14:paraId="2BD6CF43" w14:textId="588D194D" w:rsidR="00A228F1" w:rsidRPr="00787D88" w:rsidRDefault="00752D0A" w:rsidP="00A228F1">
      <w:pPr>
        <w:pStyle w:val="OPZText"/>
      </w:pPr>
      <w:r w:rsidRPr="00787D88">
        <w:t>D</w:t>
      </w:r>
      <w:r w:rsidR="00A228F1" w:rsidRPr="00787D88">
        <w:t xml:space="preserve">ielo musí byť vykonané najmä v súlade s nasledujúcimi </w:t>
      </w:r>
      <w:r w:rsidRPr="00787D88">
        <w:rPr>
          <w:color w:val="000000"/>
          <w:shd w:val="clear" w:color="auto" w:fill="FFFFFF"/>
        </w:rPr>
        <w:t>Legislatívn</w:t>
      </w:r>
      <w:r w:rsidR="00C3133B">
        <w:rPr>
          <w:color w:val="000000"/>
          <w:shd w:val="clear" w:color="auto" w:fill="FFFFFF"/>
        </w:rPr>
        <w:t>ymi</w:t>
      </w:r>
      <w:r w:rsidRPr="00787D88">
        <w:rPr>
          <w:color w:val="000000"/>
          <w:shd w:val="clear" w:color="auto" w:fill="FFFFFF"/>
        </w:rPr>
        <w:t xml:space="preserve"> požiadavk</w:t>
      </w:r>
      <w:r w:rsidR="00C3133B">
        <w:t>ami</w:t>
      </w:r>
      <w:r w:rsidR="00A228F1" w:rsidRPr="00787D88">
        <w:t>:</w:t>
      </w:r>
    </w:p>
    <w:p w14:paraId="6ADA14DB" w14:textId="77777777" w:rsidR="00A228F1" w:rsidRPr="00787D88" w:rsidRDefault="00A228F1" w:rsidP="00E82077">
      <w:pPr>
        <w:pStyle w:val="OPZNumbered"/>
        <w:numPr>
          <w:ilvl w:val="0"/>
          <w:numId w:val="9"/>
        </w:numPr>
        <w:ind w:left="794" w:hanging="454"/>
      </w:pPr>
      <w:r w:rsidRPr="00787D88">
        <w:t>Zákon č. 305/2013 Z. z. o elektronickej podobe výkonu pôsobnosti orgánov verejnej moci a o zmene a doplnení niektorých zákonov (zákon o e-Governmente) v znení neskorších predpisov</w:t>
      </w:r>
    </w:p>
    <w:p w14:paraId="4B5EF564" w14:textId="77777777" w:rsidR="00A228F1" w:rsidRPr="00787D88" w:rsidRDefault="00A228F1" w:rsidP="00E82077">
      <w:pPr>
        <w:pStyle w:val="OPZNumbered"/>
        <w:numPr>
          <w:ilvl w:val="0"/>
          <w:numId w:val="9"/>
        </w:numPr>
        <w:ind w:left="794" w:hanging="454"/>
      </w:pPr>
      <w:r w:rsidRPr="00787D88">
        <w:t>Vyhláška Úradu podpredsedu vlády Slovenskej republiky pre investície a informatizáciu č. 78/2020 Z. z. o štandardoch pre informačné technológie verejnej správy v znení neskorších predpisov (predovšetkým príloha č. 1)</w:t>
      </w:r>
    </w:p>
    <w:p w14:paraId="14F8E375" w14:textId="77777777" w:rsidR="00A228F1" w:rsidRPr="00787D88" w:rsidRDefault="00A228F1" w:rsidP="00E82077">
      <w:pPr>
        <w:pStyle w:val="OPZNumbered"/>
        <w:numPr>
          <w:ilvl w:val="0"/>
          <w:numId w:val="9"/>
        </w:numPr>
        <w:ind w:left="794" w:hanging="454"/>
      </w:pPr>
      <w:r w:rsidRPr="00787D88">
        <w:t>Zákon č. 95/2019 Z. z. o informačných technológiách vo verejnej správe a o zmene a doplnení niektorých zákonov v znení neskorších predpisov</w:t>
      </w:r>
    </w:p>
    <w:p w14:paraId="2B3AC916" w14:textId="30C89FF6" w:rsidR="00A228F1" w:rsidRDefault="00A228F1" w:rsidP="00E82077">
      <w:pPr>
        <w:pStyle w:val="OPZNumbered"/>
        <w:numPr>
          <w:ilvl w:val="0"/>
          <w:numId w:val="9"/>
        </w:numPr>
        <w:ind w:left="794" w:hanging="454"/>
      </w:pPr>
      <w:r w:rsidRPr="00787D88">
        <w:t xml:space="preserve">Nariadenie Európskeho parlamentu a Rady (EÚ) č. 910/2014 o elektronickej identifikácii a dôveryhodných službách pre elektronické transakcie na vnútornom trhu a o zrušení smernice 1999/93/ES </w:t>
      </w:r>
      <w:r w:rsidR="00F10C53" w:rsidRPr="398273FC">
        <w:t>zmenené Nariadením Európskeho parlamentu a</w:t>
      </w:r>
      <w:r w:rsidR="00F10C53">
        <w:t> </w:t>
      </w:r>
      <w:r w:rsidR="00F10C53" w:rsidRPr="398273FC">
        <w:t>Rady (EÚ) 2024/1183 z 11. apríla 2024, ktorým sa mení nariadenie (EÚ) č.</w:t>
      </w:r>
      <w:r w:rsidR="004F357A" w:rsidRPr="00787D88">
        <w:t> </w:t>
      </w:r>
      <w:r w:rsidR="00F10C53" w:rsidRPr="398273FC">
        <w:t>910/2014, pokiaľ ide o</w:t>
      </w:r>
      <w:r w:rsidR="00F10C53">
        <w:t> </w:t>
      </w:r>
      <w:r w:rsidR="00F10C53" w:rsidRPr="398273FC">
        <w:t>zriadenie európskeho rámca digitálnej identity</w:t>
      </w:r>
      <w:r w:rsidR="00F10C53">
        <w:t xml:space="preserve"> (Nariadenie </w:t>
      </w:r>
      <w:proofErr w:type="spellStart"/>
      <w:r w:rsidR="00F10C53">
        <w:t>eIDAS</w:t>
      </w:r>
      <w:proofErr w:type="spellEnd"/>
      <w:r w:rsidR="00F10C53">
        <w:t>)</w:t>
      </w:r>
      <w:r w:rsidR="00682882">
        <w:t xml:space="preserve"> </w:t>
      </w:r>
    </w:p>
    <w:p w14:paraId="479BB7CD" w14:textId="6CB8F96E" w:rsidR="0058531C" w:rsidRDefault="0058531C" w:rsidP="00E82077">
      <w:pPr>
        <w:pStyle w:val="OPZNumbered"/>
        <w:numPr>
          <w:ilvl w:val="0"/>
          <w:numId w:val="9"/>
        </w:numPr>
        <w:ind w:left="794" w:hanging="454"/>
      </w:pPr>
      <w:r w:rsidRPr="0058531C">
        <w:t>Vykonávacie rozhodnutie Komisie EÚ č. 2015/1506, ktorým sa ustanovujú špecifikácie týkajúce sa formátov zdokonalených elektronických podpisov a</w:t>
      </w:r>
      <w:r>
        <w:t> </w:t>
      </w:r>
      <w:r w:rsidRPr="0058531C">
        <w:t>zdokonalených elektronických pečatí, ktoré môžu subjekty verejného sektora uznávať, podľa článkov 27 ods. 5 a 37 ods. 5 nariadenia Európskeho parlamentu a Rady (EÚ) č. 910/2014 o</w:t>
      </w:r>
      <w:r>
        <w:t> </w:t>
      </w:r>
      <w:r w:rsidRPr="0058531C">
        <w:t>elektronickej identifikácii a dôveryhodných službách pre elektronické transakcie na vnútornom trhu (Text s významom pre EHP)</w:t>
      </w:r>
      <w:r>
        <w:t xml:space="preserve"> </w:t>
      </w:r>
    </w:p>
    <w:p w14:paraId="21EE2A59" w14:textId="22F9A0EE" w:rsidR="0058531C" w:rsidRDefault="0058531C" w:rsidP="00E82077">
      <w:pPr>
        <w:pStyle w:val="OPZNumbered"/>
        <w:numPr>
          <w:ilvl w:val="0"/>
          <w:numId w:val="9"/>
        </w:numPr>
        <w:ind w:left="794" w:hanging="454"/>
      </w:pPr>
      <w:r w:rsidRPr="0058531C">
        <w:t>Zákon 272/2016 Z. z. o dôveryhodných službách pre elektronické transakcie na vnútornom trhu a o zmene a doplnení niektorých zákonov (zákon o</w:t>
      </w:r>
      <w:r>
        <w:t> </w:t>
      </w:r>
      <w:r w:rsidRPr="0058531C">
        <w:t xml:space="preserve">dôveryhodných službách) </w:t>
      </w:r>
      <w:r w:rsidR="005F33EF" w:rsidRPr="00787D88">
        <w:t>v znení neskorších predpisov</w:t>
      </w:r>
    </w:p>
    <w:p w14:paraId="72D82B4F" w14:textId="4DF3F5D4" w:rsidR="0058531C" w:rsidRPr="00787D88" w:rsidRDefault="008E1118" w:rsidP="00E82077">
      <w:pPr>
        <w:pStyle w:val="OPZNumbered"/>
        <w:numPr>
          <w:ilvl w:val="0"/>
          <w:numId w:val="9"/>
        </w:numPr>
        <w:ind w:left="794" w:hanging="454"/>
      </w:pPr>
      <w:r w:rsidRPr="008E1118">
        <w:t>Schéma dohľadu kvalifikovaných dôveryhodných služieb definovaná orgánom dohľadu (zverejnená na webovom sídle NBÚ)</w:t>
      </w:r>
      <w:r>
        <w:t xml:space="preserve"> </w:t>
      </w:r>
    </w:p>
    <w:p w14:paraId="094112B5" w14:textId="16695DE3" w:rsidR="00A228F1" w:rsidRPr="00787D88" w:rsidRDefault="00A228F1" w:rsidP="00E82077">
      <w:pPr>
        <w:pStyle w:val="OPZNumbered"/>
        <w:numPr>
          <w:ilvl w:val="0"/>
          <w:numId w:val="9"/>
        </w:numPr>
        <w:ind w:left="794" w:hanging="454"/>
      </w:pPr>
      <w:r w:rsidRPr="00787D88">
        <w:t xml:space="preserve">Vyhláška Ministerstva investícií, regionálneho rozvoja a informatizácie Slovenskej republiky č. 385/2022 </w:t>
      </w:r>
      <w:proofErr w:type="spellStart"/>
      <w:r w:rsidRPr="00787D88">
        <w:t>Z.z</w:t>
      </w:r>
      <w:proofErr w:type="spellEnd"/>
      <w:r w:rsidRPr="00787D88">
        <w:t>. o jednotnom formáte elektronickej správy a elektronickej doručenky</w:t>
      </w:r>
      <w:r w:rsidR="004D2AA2">
        <w:t xml:space="preserve"> </w:t>
      </w:r>
      <w:r w:rsidR="00B86F77" w:rsidRPr="00787D88">
        <w:t>v znení neskorších predpisov</w:t>
      </w:r>
    </w:p>
    <w:p w14:paraId="207768B2" w14:textId="4A7FB04C" w:rsidR="00A228F1" w:rsidRPr="00787D88" w:rsidRDefault="00A228F1" w:rsidP="00E82077">
      <w:pPr>
        <w:pStyle w:val="OPZNumbered"/>
        <w:numPr>
          <w:ilvl w:val="0"/>
          <w:numId w:val="9"/>
        </w:numPr>
        <w:ind w:left="794" w:hanging="454"/>
      </w:pPr>
      <w:r w:rsidRPr="00787D88">
        <w:t>Vyhláška Ministerstva investícií, regionálneho rozvoja a</w:t>
      </w:r>
      <w:r w:rsidR="000C50B0">
        <w:t> </w:t>
      </w:r>
      <w:r w:rsidRPr="00787D88">
        <w:t>informatizácie Slovenskej republiky č. 70/2021 Z. z. o zaručenej konverzii</w:t>
      </w:r>
      <w:r w:rsidR="003D3480">
        <w:t xml:space="preserve"> </w:t>
      </w:r>
      <w:r w:rsidR="00B86F77" w:rsidRPr="00787D88">
        <w:t>v znení neskorších predpisov</w:t>
      </w:r>
    </w:p>
    <w:p w14:paraId="117B9879" w14:textId="3C97CFA5" w:rsidR="00A228F1" w:rsidRPr="00787D88" w:rsidRDefault="00A228F1" w:rsidP="00E82077">
      <w:pPr>
        <w:pStyle w:val="OPZNumbered"/>
        <w:numPr>
          <w:ilvl w:val="0"/>
          <w:numId w:val="9"/>
        </w:numPr>
        <w:ind w:left="794" w:hanging="454"/>
      </w:pPr>
      <w:r w:rsidRPr="00787D88">
        <w:t>Metodické usmernenie pre tvorbu používateľsky kvalitných elektronických služieb verejnej správy, Úrad podpredsedu vlády SR pre investície a</w:t>
      </w:r>
      <w:r w:rsidR="00CC27AC">
        <w:t> </w:t>
      </w:r>
      <w:r w:rsidRPr="00787D88">
        <w:t>informatizáciu</w:t>
      </w:r>
      <w:r w:rsidR="00CC27AC">
        <w:t xml:space="preserve"> </w:t>
      </w:r>
    </w:p>
    <w:p w14:paraId="4D9514C6" w14:textId="4DCEFA46" w:rsidR="00A228F1" w:rsidRPr="00787D88" w:rsidRDefault="00A228F1" w:rsidP="00E82077">
      <w:pPr>
        <w:pStyle w:val="OPZNumbered"/>
        <w:numPr>
          <w:ilvl w:val="0"/>
          <w:numId w:val="9"/>
        </w:numPr>
        <w:ind w:left="794" w:hanging="454"/>
      </w:pPr>
      <w:r w:rsidRPr="00787D88">
        <w:t>Zákon č. 69/2018 Z. z. o kybernetickej bezpečnosti</w:t>
      </w:r>
      <w:r w:rsidR="00B86F77">
        <w:t xml:space="preserve"> </w:t>
      </w:r>
      <w:r w:rsidR="00B86F77" w:rsidRPr="00787D88">
        <w:t>v znení neskorších predpisov</w:t>
      </w:r>
    </w:p>
    <w:p w14:paraId="6B4AE052" w14:textId="6F03559A" w:rsidR="00A228F1" w:rsidRPr="00787D88" w:rsidRDefault="00A228F1" w:rsidP="00E82077">
      <w:pPr>
        <w:pStyle w:val="OPZNumbered"/>
        <w:numPr>
          <w:ilvl w:val="0"/>
          <w:numId w:val="9"/>
        </w:numPr>
        <w:ind w:left="794" w:hanging="454"/>
      </w:pPr>
      <w:r w:rsidRPr="00787D88">
        <w:t>Vyhláška č. 179/2020 Z. z. ktorou sa ustanovuje spôsob kategorizácie a</w:t>
      </w:r>
      <w:r w:rsidR="004E51F6">
        <w:t> </w:t>
      </w:r>
      <w:r w:rsidRPr="00787D88">
        <w:t>obsah bezpečnostných opatrení informačných technológií verejnej správy</w:t>
      </w:r>
    </w:p>
    <w:p w14:paraId="328C9550" w14:textId="77777777" w:rsidR="00A228F1" w:rsidRPr="00787D88" w:rsidRDefault="00A228F1" w:rsidP="00E82077">
      <w:pPr>
        <w:pStyle w:val="OPZNumbered"/>
        <w:numPr>
          <w:ilvl w:val="0"/>
          <w:numId w:val="9"/>
        </w:numPr>
        <w:ind w:left="794" w:hanging="454"/>
      </w:pPr>
      <w:r w:rsidRPr="00787D88">
        <w:t>Vyhláška č. 362/2018 Z. z. ktorou sa ustanovuje obsah bezpečnostných opatrení, obsah a štruktúra bezpečnostnej dokumentácie a rozsah všeobecných bezpečnostných opatrení</w:t>
      </w:r>
    </w:p>
    <w:p w14:paraId="1C14EF7E" w14:textId="3EA2F09B" w:rsidR="00A228F1" w:rsidRPr="00787D88" w:rsidRDefault="00A228F1" w:rsidP="00E82077">
      <w:pPr>
        <w:pStyle w:val="OPZNumbered"/>
        <w:numPr>
          <w:ilvl w:val="0"/>
          <w:numId w:val="9"/>
        </w:numPr>
        <w:ind w:left="794" w:hanging="454"/>
      </w:pPr>
      <w:r w:rsidRPr="00787D88">
        <w:t>Nariadenie Európskeho parlamentu a Rady (EÚ) 2016/679 z 27. apríla 2016 o ochrane fyzických osôb pri spracúvaní osobných údajov a o voľnom pohybe takýchto údajov, ktorým sa zrušuje smernica 95/46/ES (GDPR) a v súlade so zákonom č.</w:t>
      </w:r>
      <w:r w:rsidR="006D4835" w:rsidRPr="00787D88">
        <w:t> </w:t>
      </w:r>
      <w:r w:rsidRPr="00787D88">
        <w:t>18/2018 Z. z. o ochrane osobných údajov a o zmene a doplnení niektorých zákonov v</w:t>
      </w:r>
      <w:r w:rsidR="007F3592">
        <w:t> </w:t>
      </w:r>
      <w:r w:rsidRPr="00787D88">
        <w:t>znení neskorších predpisov.</w:t>
      </w:r>
      <w:r w:rsidR="004F6D8E">
        <w:t xml:space="preserve"> </w:t>
      </w:r>
    </w:p>
    <w:p w14:paraId="6A34676C" w14:textId="60F0F15B" w:rsidR="00A228F1" w:rsidRPr="00787D88" w:rsidRDefault="006D7BDC" w:rsidP="00A228F1">
      <w:pPr>
        <w:pStyle w:val="OPZSubtitle"/>
      </w:pPr>
      <w:r>
        <w:t xml:space="preserve">požiadavky na </w:t>
      </w:r>
      <w:r w:rsidR="00A228F1" w:rsidRPr="00787D88">
        <w:t>Súčinnos</w:t>
      </w:r>
      <w:r>
        <w:t>ť</w:t>
      </w:r>
      <w:r w:rsidR="00A228F1" w:rsidRPr="00787D88">
        <w:t xml:space="preserve"> a SLUŽBY pri dodaní DIELA</w:t>
      </w:r>
    </w:p>
    <w:p w14:paraId="77709257" w14:textId="305238B7" w:rsidR="00A228F1" w:rsidRPr="00787D88" w:rsidRDefault="00BA3DBC" w:rsidP="00345FEA">
      <w:r>
        <w:rPr>
          <w:shd w:val="clear" w:color="auto" w:fill="FFFFFF"/>
        </w:rPr>
        <w:t>Zhotovi</w:t>
      </w:r>
      <w:r w:rsidRPr="00787D88">
        <w:rPr>
          <w:shd w:val="clear" w:color="auto" w:fill="FFFFFF"/>
        </w:rPr>
        <w:t xml:space="preserve">teľ </w:t>
      </w:r>
      <w:r w:rsidR="00A228F1" w:rsidRPr="00787D88">
        <w:rPr>
          <w:shd w:val="clear" w:color="auto" w:fill="FFFFFF"/>
        </w:rPr>
        <w:t>diela</w:t>
      </w:r>
      <w:r>
        <w:rPr>
          <w:shd w:val="clear" w:color="auto" w:fill="FFFFFF"/>
        </w:rPr>
        <w:t xml:space="preserve"> je povinný</w:t>
      </w:r>
      <w:r w:rsidR="00A228F1" w:rsidRPr="00787D88">
        <w:rPr>
          <w:shd w:val="clear" w:color="auto" w:fill="FFFFFF"/>
        </w:rPr>
        <w:t xml:space="preserve"> </w:t>
      </w:r>
      <w:r w:rsidR="00A228F1" w:rsidRPr="00787D88">
        <w:t>zabezpeč</w:t>
      </w:r>
      <w:r>
        <w:t>iť,</w:t>
      </w:r>
      <w:r w:rsidR="00A228F1" w:rsidRPr="00787D88">
        <w:t xml:space="preserve"> v súčinnosti s</w:t>
      </w:r>
      <w:r>
        <w:t>o zamestnancami</w:t>
      </w:r>
      <w:r w:rsidR="00A228F1" w:rsidRPr="00787D88">
        <w:t> prevádzk</w:t>
      </w:r>
      <w:r>
        <w:t>y</w:t>
      </w:r>
      <w:r w:rsidR="00A228F1" w:rsidRPr="00787D88">
        <w:t xml:space="preserve"> </w:t>
      </w:r>
      <w:r>
        <w:t>verejného obstarávateľa,</w:t>
      </w:r>
      <w:r w:rsidR="00A228F1" w:rsidRPr="00787D88">
        <w:t xml:space="preserve"> inštaláciu a</w:t>
      </w:r>
      <w:r>
        <w:t> </w:t>
      </w:r>
      <w:r w:rsidR="00A228F1" w:rsidRPr="00787D88">
        <w:t>konfiguráci</w:t>
      </w:r>
      <w:r>
        <w:t>u dodaného</w:t>
      </w:r>
      <w:r w:rsidR="00A228F1" w:rsidRPr="00787D88">
        <w:t xml:space="preserve"> riešenia v testovacom a produkčnom prostred</w:t>
      </w:r>
      <w:r w:rsidR="00911645">
        <w:t>í</w:t>
      </w:r>
      <w:r>
        <w:t xml:space="preserve"> verejného obstarávateľa</w:t>
      </w:r>
      <w:r w:rsidR="00A228F1" w:rsidRPr="00787D88">
        <w:t xml:space="preserve">. </w:t>
      </w:r>
      <w:r>
        <w:t>Verejný obstarávateľ</w:t>
      </w:r>
      <w:r w:rsidR="00A228F1" w:rsidRPr="00787D88">
        <w:t xml:space="preserve"> zabezpečí pripravenosť prostred</w:t>
      </w:r>
      <w:r>
        <w:t>í</w:t>
      </w:r>
      <w:r w:rsidR="00A228F1" w:rsidRPr="00787D88">
        <w:t xml:space="preserve"> podľa </w:t>
      </w:r>
      <w:r>
        <w:t xml:space="preserve">vzájomne odsúhlasenej, </w:t>
      </w:r>
      <w:r w:rsidR="00A228F1" w:rsidRPr="00787D88">
        <w:t>odporúčanej špecifikácie</w:t>
      </w:r>
      <w:r>
        <w:t xml:space="preserve"> na infraštruktúru</w:t>
      </w:r>
      <w:r w:rsidR="00A228F1" w:rsidRPr="00787D88">
        <w:t xml:space="preserve">. </w:t>
      </w:r>
    </w:p>
    <w:p w14:paraId="34AB1A54" w14:textId="7870AF93" w:rsidR="00A228F1" w:rsidRPr="00787D88" w:rsidRDefault="00A228F1" w:rsidP="00345FEA">
      <w:pPr>
        <w:rPr>
          <w:shd w:val="clear" w:color="auto" w:fill="FFFFFF"/>
        </w:rPr>
      </w:pPr>
      <w:r w:rsidRPr="00994423">
        <w:t xml:space="preserve">Export </w:t>
      </w:r>
      <w:r w:rsidR="00C52F7C" w:rsidRPr="00994423">
        <w:t>archívu CRL</w:t>
      </w:r>
      <w:r w:rsidR="00B04ABC">
        <w:t xml:space="preserve"> a certifikátov</w:t>
      </w:r>
      <w:r w:rsidR="00C52F7C" w:rsidRPr="00994423">
        <w:t xml:space="preserve">, archívu podpisov s pripojenou časovou pečiatkou a archívu zreplikovaných schém formulárov </w:t>
      </w:r>
      <w:r w:rsidRPr="00994423">
        <w:t>z</w:t>
      </w:r>
      <w:r w:rsidR="002B4CB8" w:rsidRPr="00994423">
        <w:t xml:space="preserve"> CEP </w:t>
      </w:r>
      <w:r w:rsidRPr="00994423">
        <w:rPr>
          <w:shd w:val="clear" w:color="auto" w:fill="FFFFFF"/>
        </w:rPr>
        <w:t xml:space="preserve">zabezpečí </w:t>
      </w:r>
      <w:r w:rsidR="000C328A" w:rsidRPr="00994423">
        <w:rPr>
          <w:shd w:val="clear" w:color="auto" w:fill="FFFFFF"/>
        </w:rPr>
        <w:t>v</w:t>
      </w:r>
      <w:r w:rsidRPr="00994423">
        <w:rPr>
          <w:shd w:val="clear" w:color="auto" w:fill="FFFFFF"/>
        </w:rPr>
        <w:t>erejný obstarávateľ.</w:t>
      </w:r>
      <w:r w:rsidRPr="00787D88">
        <w:rPr>
          <w:shd w:val="clear" w:color="auto" w:fill="FFFFFF"/>
        </w:rPr>
        <w:t xml:space="preserve"> </w:t>
      </w:r>
    </w:p>
    <w:p w14:paraId="231DD2C6" w14:textId="3A58050F" w:rsidR="00A228F1" w:rsidRPr="00BA3DBC" w:rsidRDefault="00A228F1" w:rsidP="00A228F1">
      <w:pPr>
        <w:pStyle w:val="OPZSubtitle"/>
      </w:pPr>
      <w:r w:rsidRPr="00BA3DBC">
        <w:rPr>
          <w:color w:val="000000"/>
          <w:shd w:val="clear" w:color="auto" w:fill="FFFFFF"/>
        </w:rPr>
        <w:t>harmonogram</w:t>
      </w:r>
      <w:r w:rsidR="00BA3DBC">
        <w:rPr>
          <w:color w:val="000000"/>
          <w:shd w:val="clear" w:color="auto" w:fill="FFFFFF"/>
        </w:rPr>
        <w:t xml:space="preserve"> realizácie diela</w:t>
      </w:r>
    </w:p>
    <w:p w14:paraId="2807A1E4" w14:textId="259C794B" w:rsidR="000C328A" w:rsidRDefault="000C328A">
      <w:pPr>
        <w:widowControl/>
        <w:spacing w:after="160"/>
        <w:rPr>
          <w:shd w:val="clear" w:color="auto" w:fill="FFFFFF"/>
        </w:rPr>
      </w:pPr>
      <w:r w:rsidRPr="004A274E">
        <w:rPr>
          <w:rFonts w:eastAsia="Arial" w:cs="Arial"/>
        </w:rPr>
        <w:t>Indikatívny</w:t>
      </w:r>
      <w:r>
        <w:t xml:space="preserve"> časový</w:t>
      </w:r>
      <w:r w:rsidRPr="004A274E">
        <w:rPr>
          <w:rFonts w:eastAsia="Arial" w:cs="Arial"/>
        </w:rPr>
        <w:t xml:space="preserve"> </w:t>
      </w:r>
      <w:r w:rsidRPr="003402CE">
        <w:rPr>
          <w:rFonts w:eastAsia="Arial" w:cs="Arial"/>
        </w:rPr>
        <w:t>harmonogram</w:t>
      </w:r>
      <w:r w:rsidRPr="003402CE">
        <w:t xml:space="preserve"> realizácie diela je uvedený v Prílohe č. </w:t>
      </w:r>
      <w:r w:rsidR="00FF726E">
        <w:t>2</w:t>
      </w:r>
      <w:r w:rsidR="00FF726E" w:rsidRPr="009F45F0">
        <w:t xml:space="preserve"> </w:t>
      </w:r>
      <w:r w:rsidR="00FF726E">
        <w:t>„</w:t>
      </w:r>
      <w:proofErr w:type="spellStart"/>
      <w:r w:rsidR="00FF726E" w:rsidRPr="004730E9">
        <w:t>ZoD_Doba</w:t>
      </w:r>
      <w:proofErr w:type="spellEnd"/>
      <w:r w:rsidR="00FF726E" w:rsidRPr="004730E9">
        <w:t xml:space="preserve"> plnenia Diela, časový harmonogram</w:t>
      </w:r>
      <w:r w:rsidRPr="003402CE">
        <w:t xml:space="preserve"> </w:t>
      </w:r>
      <w:r w:rsidR="00B557FD" w:rsidRPr="003402CE">
        <w:t>–</w:t>
      </w:r>
      <w:r w:rsidRPr="003402CE">
        <w:t xml:space="preserve"> </w:t>
      </w:r>
      <w:r w:rsidR="000111D1" w:rsidRPr="003402CE">
        <w:rPr>
          <w:shd w:val="clear" w:color="auto" w:fill="FFFFFF"/>
        </w:rPr>
        <w:t>CEP</w:t>
      </w:r>
      <w:r w:rsidRPr="003402CE">
        <w:t>“</w:t>
      </w:r>
      <w:r w:rsidR="00A228F1" w:rsidRPr="003402CE">
        <w:rPr>
          <w:shd w:val="clear" w:color="auto" w:fill="FFFFFF"/>
        </w:rPr>
        <w:t>.</w:t>
      </w:r>
    </w:p>
    <w:p w14:paraId="174F0E5D" w14:textId="77777777" w:rsidR="00436AA6" w:rsidRDefault="00436AA6" w:rsidP="002D7673">
      <w:pPr>
        <w:spacing w:before="60"/>
      </w:pPr>
    </w:p>
    <w:p w14:paraId="23995B36" w14:textId="72468AFD" w:rsidR="000C328A" w:rsidRDefault="000C328A" w:rsidP="002D7673">
      <w:pPr>
        <w:spacing w:before="60"/>
        <w:rPr>
          <w:shd w:val="clear" w:color="auto" w:fill="FFFFFF"/>
        </w:rPr>
      </w:pPr>
      <w:r>
        <w:rPr>
          <w:shd w:val="clear" w:color="auto" w:fill="FFFFFF"/>
        </w:rPr>
        <w:br w:type="page"/>
      </w:r>
    </w:p>
    <w:p w14:paraId="2E92FA8A" w14:textId="087D446E" w:rsidR="7E8F9445" w:rsidRPr="00787D88" w:rsidRDefault="7E8F9445" w:rsidP="000C328A">
      <w:pPr>
        <w:pStyle w:val="OPZSubtitle"/>
        <w:spacing w:before="0"/>
        <w:rPr>
          <w:lang w:eastAsia="sk-SK"/>
        </w:rPr>
      </w:pPr>
      <w:r w:rsidRPr="00787D88">
        <w:rPr>
          <w:lang w:eastAsia="sk-SK"/>
        </w:rPr>
        <w:t>Zoznam skratiek</w:t>
      </w:r>
      <w:r w:rsidR="000C328A">
        <w:rPr>
          <w:lang w:eastAsia="sk-SK"/>
        </w:rPr>
        <w:t xml:space="preserve"> a pojmov</w:t>
      </w:r>
    </w:p>
    <w:p w14:paraId="7633D655" w14:textId="282AF389" w:rsidR="7E8F9445" w:rsidRPr="00787D88" w:rsidRDefault="7E8F9445" w:rsidP="002D7673">
      <w:pPr>
        <w:spacing w:after="80"/>
      </w:pPr>
      <w:r w:rsidRPr="00787D88">
        <w:t xml:space="preserve">Tabuľka </w:t>
      </w:r>
      <w:r w:rsidR="00234191">
        <w:t>č. </w:t>
      </w:r>
      <w:r w:rsidRPr="00787D88">
        <w:t>1 - Zoznam skratiek</w:t>
      </w:r>
    </w:p>
    <w:tbl>
      <w:tblPr>
        <w:tblW w:w="9180" w:type="dxa"/>
        <w:tblLook w:val="04A0" w:firstRow="1" w:lastRow="0" w:firstColumn="1" w:lastColumn="0" w:noHBand="0" w:noVBand="1"/>
      </w:tblPr>
      <w:tblGrid>
        <w:gridCol w:w="1875"/>
        <w:gridCol w:w="7305"/>
      </w:tblGrid>
      <w:tr w:rsidR="42BAB69C" w:rsidRPr="005D4464" w14:paraId="642E2275" w14:textId="77777777" w:rsidTr="48BD72F8">
        <w:trPr>
          <w:trHeight w:val="300"/>
        </w:trPr>
        <w:tc>
          <w:tcPr>
            <w:tcW w:w="1875" w:type="dxa"/>
            <w:tcBorders>
              <w:top w:val="single" w:sz="8" w:space="0" w:color="auto"/>
              <w:left w:val="single" w:sz="8" w:space="0" w:color="auto"/>
              <w:bottom w:val="nil"/>
              <w:right w:val="single" w:sz="8" w:space="0" w:color="000000" w:themeColor="text1"/>
            </w:tcBorders>
            <w:shd w:val="clear" w:color="auto" w:fill="D0CECE" w:themeFill="background2" w:themeFillShade="E6"/>
            <w:tcMar>
              <w:top w:w="15" w:type="dxa"/>
              <w:left w:w="15" w:type="dxa"/>
              <w:right w:w="15" w:type="dxa"/>
            </w:tcMar>
            <w:vAlign w:val="center"/>
          </w:tcPr>
          <w:p w14:paraId="359F2C95" w14:textId="77777777" w:rsidR="42BAB69C" w:rsidRPr="005D4464" w:rsidRDefault="42BAB69C" w:rsidP="005D4464">
            <w:pPr>
              <w:pStyle w:val="OPZTableHeader"/>
            </w:pPr>
            <w:r w:rsidRPr="005D4464">
              <w:t xml:space="preserve">SKRATKA </w:t>
            </w:r>
          </w:p>
        </w:tc>
        <w:tc>
          <w:tcPr>
            <w:tcW w:w="7305" w:type="dxa"/>
            <w:tcBorders>
              <w:top w:val="single" w:sz="8" w:space="0" w:color="auto"/>
              <w:left w:val="single" w:sz="8" w:space="0" w:color="000000" w:themeColor="text1"/>
              <w:bottom w:val="nil"/>
              <w:right w:val="single" w:sz="8" w:space="0" w:color="auto"/>
            </w:tcBorders>
            <w:shd w:val="clear" w:color="auto" w:fill="D0CECE" w:themeFill="background2" w:themeFillShade="E6"/>
            <w:tcMar>
              <w:top w:w="15" w:type="dxa"/>
              <w:left w:w="15" w:type="dxa"/>
              <w:right w:w="15" w:type="dxa"/>
            </w:tcMar>
            <w:vAlign w:val="center"/>
          </w:tcPr>
          <w:p w14:paraId="7EE29643" w14:textId="77777777" w:rsidR="42BAB69C" w:rsidRPr="005D4464" w:rsidRDefault="42BAB69C" w:rsidP="005D4464">
            <w:pPr>
              <w:pStyle w:val="OPZTableHeader"/>
            </w:pPr>
            <w:r w:rsidRPr="005D4464">
              <w:t xml:space="preserve">POPIS </w:t>
            </w:r>
          </w:p>
        </w:tc>
      </w:tr>
      <w:tr w:rsidR="42BAB69C" w:rsidRPr="005D4464" w14:paraId="0E6127F2"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0B520B58" w14:textId="77777777" w:rsidR="42BAB69C" w:rsidRPr="005D4464" w:rsidRDefault="42BAB69C" w:rsidP="005D4464">
            <w:pPr>
              <w:pStyle w:val="OPZTableText"/>
              <w:rPr>
                <w:sz w:val="20"/>
                <w:szCs w:val="20"/>
              </w:rPr>
            </w:pPr>
            <w:r w:rsidRPr="005D4464">
              <w:rPr>
                <w:sz w:val="20"/>
                <w:szCs w:val="20"/>
              </w:rPr>
              <w:t xml:space="preserve">API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20850DF6" w14:textId="77777777" w:rsidR="42BAB69C" w:rsidRPr="005D4464" w:rsidRDefault="3A3D1DDF" w:rsidP="005D4464">
            <w:pPr>
              <w:pStyle w:val="OPZTableText"/>
              <w:rPr>
                <w:sz w:val="20"/>
                <w:szCs w:val="20"/>
              </w:rPr>
            </w:pPr>
            <w:proofErr w:type="spellStart"/>
            <w:r w:rsidRPr="005D4464">
              <w:rPr>
                <w:sz w:val="20"/>
                <w:szCs w:val="20"/>
              </w:rPr>
              <w:t>Application</w:t>
            </w:r>
            <w:proofErr w:type="spellEnd"/>
            <w:r w:rsidRPr="005D4464">
              <w:rPr>
                <w:sz w:val="20"/>
                <w:szCs w:val="20"/>
              </w:rPr>
              <w:t xml:space="preserve"> </w:t>
            </w:r>
            <w:proofErr w:type="spellStart"/>
            <w:r w:rsidRPr="005D4464">
              <w:rPr>
                <w:sz w:val="20"/>
                <w:szCs w:val="20"/>
              </w:rPr>
              <w:t>Programming</w:t>
            </w:r>
            <w:proofErr w:type="spellEnd"/>
            <w:r w:rsidRPr="005D4464">
              <w:rPr>
                <w:sz w:val="20"/>
                <w:szCs w:val="20"/>
              </w:rPr>
              <w:t xml:space="preserve"> Interface (Programové rozhranie aplikácie) </w:t>
            </w:r>
          </w:p>
        </w:tc>
      </w:tr>
      <w:tr w:rsidR="005D4464" w:rsidRPr="005D4464" w14:paraId="04EB70C2"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5D774DA7" w14:textId="56773ED7" w:rsidR="005D4464" w:rsidRPr="005D4464" w:rsidRDefault="00A22BC3" w:rsidP="005D4464">
            <w:pPr>
              <w:pStyle w:val="OPZTableText"/>
              <w:rPr>
                <w:sz w:val="20"/>
                <w:szCs w:val="20"/>
              </w:rPr>
            </w:pPr>
            <w:r>
              <w:rPr>
                <w:sz w:val="20"/>
                <w:szCs w:val="20"/>
              </w:rPr>
              <w:t>API GW</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44EAF5FB" w14:textId="5A4DE48F" w:rsidR="005D4464" w:rsidRPr="005D4464" w:rsidRDefault="00A22BC3" w:rsidP="005D4464">
            <w:pPr>
              <w:pStyle w:val="OPZTableText"/>
              <w:rPr>
                <w:sz w:val="20"/>
                <w:szCs w:val="20"/>
              </w:rPr>
            </w:pPr>
            <w:r w:rsidRPr="00A22BC3">
              <w:rPr>
                <w:sz w:val="20"/>
                <w:szCs w:val="20"/>
              </w:rPr>
              <w:t xml:space="preserve">API </w:t>
            </w:r>
            <w:proofErr w:type="spellStart"/>
            <w:r w:rsidRPr="00A22BC3">
              <w:rPr>
                <w:sz w:val="20"/>
                <w:szCs w:val="20"/>
              </w:rPr>
              <w:t>Gateway</w:t>
            </w:r>
            <w:proofErr w:type="spellEnd"/>
            <w:r w:rsidRPr="00A22BC3">
              <w:rPr>
                <w:sz w:val="20"/>
                <w:szCs w:val="20"/>
              </w:rPr>
              <w:t xml:space="preserve"> – Verejná integračná platforma</w:t>
            </w:r>
          </w:p>
        </w:tc>
      </w:tr>
      <w:tr w:rsidR="00A04272" w:rsidRPr="005D4464" w14:paraId="458ECE72"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177A7524" w14:textId="6B680D1B" w:rsidR="00A04272" w:rsidRDefault="00A04272" w:rsidP="005D4464">
            <w:pPr>
              <w:pStyle w:val="OPZTableText"/>
              <w:rPr>
                <w:sz w:val="20"/>
                <w:szCs w:val="20"/>
              </w:rPr>
            </w:pPr>
            <w:r>
              <w:rPr>
                <w:sz w:val="20"/>
                <w:szCs w:val="20"/>
              </w:rPr>
              <w:t>CA</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4FECABFC" w14:textId="62556582" w:rsidR="00A04272" w:rsidRPr="00A22BC3" w:rsidRDefault="00A04272" w:rsidP="005D4464">
            <w:pPr>
              <w:pStyle w:val="OPZTableText"/>
              <w:rPr>
                <w:sz w:val="20"/>
                <w:szCs w:val="20"/>
              </w:rPr>
            </w:pPr>
            <w:r w:rsidRPr="00A04272">
              <w:rPr>
                <w:sz w:val="20"/>
                <w:szCs w:val="20"/>
              </w:rPr>
              <w:t>Certifikačná autorita</w:t>
            </w:r>
          </w:p>
        </w:tc>
      </w:tr>
      <w:tr w:rsidR="00CD0B87" w:rsidRPr="005D4464" w14:paraId="63D03637" w14:textId="77777777" w:rsidTr="48BD72F8">
        <w:trPr>
          <w:trHeight w:val="433"/>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tcPr>
          <w:p w14:paraId="730FF9B8" w14:textId="2BE788DA" w:rsidR="00CD0B87" w:rsidRPr="005D4464" w:rsidRDefault="00CD0B87" w:rsidP="005D4464">
            <w:pPr>
              <w:pStyle w:val="OPZTableText"/>
              <w:rPr>
                <w:rFonts w:eastAsia="Aptos Narrow"/>
                <w:sz w:val="20"/>
                <w:szCs w:val="20"/>
              </w:rPr>
            </w:pPr>
            <w:r w:rsidRPr="005D4464">
              <w:rPr>
                <w:sz w:val="20"/>
                <w:szCs w:val="20"/>
              </w:rPr>
              <w:t xml:space="preserve">CEP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tcPr>
          <w:p w14:paraId="46EBEC2C" w14:textId="2FE6E049" w:rsidR="00CD0B87" w:rsidRPr="005D4464" w:rsidRDefault="1FC6FAE2" w:rsidP="005D4464">
            <w:pPr>
              <w:pStyle w:val="OPZTableText"/>
              <w:rPr>
                <w:sz w:val="20"/>
                <w:szCs w:val="20"/>
              </w:rPr>
            </w:pPr>
            <w:r w:rsidRPr="005D4464">
              <w:rPr>
                <w:sz w:val="20"/>
                <w:szCs w:val="20"/>
              </w:rPr>
              <w:t xml:space="preserve">Centrálna elektronická podateľňa </w:t>
            </w:r>
          </w:p>
        </w:tc>
      </w:tr>
      <w:tr w:rsidR="42BAB69C" w:rsidRPr="005D4464" w14:paraId="228BD01A" w14:textId="77777777" w:rsidTr="48BD72F8">
        <w:trPr>
          <w:trHeight w:val="675"/>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A715161" w14:textId="77777777" w:rsidR="42BAB69C" w:rsidRPr="005D4464" w:rsidRDefault="42BAB69C" w:rsidP="005D4464">
            <w:pPr>
              <w:pStyle w:val="OPZTableText"/>
              <w:rPr>
                <w:sz w:val="20"/>
                <w:szCs w:val="20"/>
              </w:rPr>
            </w:pPr>
            <w:r w:rsidRPr="005D4464">
              <w:rPr>
                <w:rFonts w:eastAsia="Aptos Narrow"/>
                <w:sz w:val="20"/>
                <w:szCs w:val="20"/>
              </w:rPr>
              <w:t>CI/CD</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5DA4705F" w14:textId="08B1A6E1" w:rsidR="42BAB69C" w:rsidRPr="005D4464" w:rsidRDefault="3A3D1DDF" w:rsidP="005D4464">
            <w:pPr>
              <w:pStyle w:val="OPZTableText"/>
              <w:rPr>
                <w:sz w:val="20"/>
                <w:szCs w:val="20"/>
              </w:rPr>
            </w:pPr>
            <w:proofErr w:type="spellStart"/>
            <w:r w:rsidRPr="005D4464">
              <w:rPr>
                <w:sz w:val="20"/>
                <w:szCs w:val="20"/>
              </w:rPr>
              <w:t>Continuous</w:t>
            </w:r>
            <w:proofErr w:type="spellEnd"/>
            <w:r w:rsidRPr="005D4464">
              <w:rPr>
                <w:sz w:val="20"/>
                <w:szCs w:val="20"/>
              </w:rPr>
              <w:t xml:space="preserve"> </w:t>
            </w:r>
            <w:proofErr w:type="spellStart"/>
            <w:r w:rsidRPr="005D4464">
              <w:rPr>
                <w:sz w:val="20"/>
                <w:szCs w:val="20"/>
              </w:rPr>
              <w:t>integration</w:t>
            </w:r>
            <w:proofErr w:type="spellEnd"/>
            <w:r w:rsidRPr="005D4464">
              <w:rPr>
                <w:sz w:val="20"/>
                <w:szCs w:val="20"/>
              </w:rPr>
              <w:t>/</w:t>
            </w:r>
            <w:proofErr w:type="spellStart"/>
            <w:r w:rsidRPr="005D4464">
              <w:rPr>
                <w:sz w:val="20"/>
                <w:szCs w:val="20"/>
              </w:rPr>
              <w:t>Continuous</w:t>
            </w:r>
            <w:proofErr w:type="spellEnd"/>
            <w:r w:rsidRPr="005D4464">
              <w:rPr>
                <w:sz w:val="20"/>
                <w:szCs w:val="20"/>
              </w:rPr>
              <w:t xml:space="preserve"> </w:t>
            </w:r>
            <w:proofErr w:type="spellStart"/>
            <w:r w:rsidRPr="005D4464">
              <w:rPr>
                <w:sz w:val="20"/>
                <w:szCs w:val="20"/>
              </w:rPr>
              <w:t>deployment</w:t>
            </w:r>
            <w:proofErr w:type="spellEnd"/>
            <w:r w:rsidRPr="005D4464">
              <w:rPr>
                <w:sz w:val="20"/>
                <w:szCs w:val="20"/>
              </w:rPr>
              <w:t xml:space="preserve"> - Automatizovaný proces používaný vo vývoji softvéru na zefektívnenie integrácie kódu, testovania a nasadzovania nových verzií aplikácií. CI/CD </w:t>
            </w:r>
            <w:proofErr w:type="spellStart"/>
            <w:r w:rsidRPr="005D4464">
              <w:rPr>
                <w:sz w:val="20"/>
                <w:szCs w:val="20"/>
              </w:rPr>
              <w:t>pipeline</w:t>
            </w:r>
            <w:proofErr w:type="spellEnd"/>
            <w:r w:rsidRPr="005D4464">
              <w:rPr>
                <w:sz w:val="20"/>
                <w:szCs w:val="20"/>
              </w:rPr>
              <w:t xml:space="preserve"> umožňuje časté a spoľahlivé nasadenie zmien kódu do produkčných prostredí, čím sa zlepšuje kvalita softvéru a skracuje čas potrebný na dodanie nových funkcií.</w:t>
            </w:r>
          </w:p>
        </w:tc>
      </w:tr>
      <w:tr w:rsidR="00A13006" w:rsidRPr="005D4464" w14:paraId="60142368" w14:textId="77777777" w:rsidTr="00A13006">
        <w:trPr>
          <w:trHeight w:val="8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513EBE07" w14:textId="7D4C642D" w:rsidR="00A13006" w:rsidRPr="005D4464" w:rsidRDefault="00A13006" w:rsidP="005D4464">
            <w:pPr>
              <w:pStyle w:val="OPZTableText"/>
              <w:rPr>
                <w:rFonts w:eastAsia="Aptos Narrow"/>
                <w:sz w:val="20"/>
                <w:szCs w:val="20"/>
              </w:rPr>
            </w:pPr>
            <w:r>
              <w:rPr>
                <w:rFonts w:eastAsia="Aptos Narrow"/>
                <w:sz w:val="20"/>
                <w:szCs w:val="20"/>
              </w:rPr>
              <w:t>CRL</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F0CFB5D" w14:textId="189D26F7" w:rsidR="00A13006" w:rsidRPr="005D4464" w:rsidRDefault="00A13006" w:rsidP="005D4464">
            <w:pPr>
              <w:pStyle w:val="OPZTableText"/>
              <w:rPr>
                <w:sz w:val="20"/>
                <w:szCs w:val="20"/>
              </w:rPr>
            </w:pPr>
            <w:proofErr w:type="spellStart"/>
            <w:r w:rsidRPr="00A13006">
              <w:rPr>
                <w:sz w:val="20"/>
                <w:szCs w:val="20"/>
              </w:rPr>
              <w:t>Certificate</w:t>
            </w:r>
            <w:proofErr w:type="spellEnd"/>
            <w:r w:rsidRPr="00A13006">
              <w:rPr>
                <w:sz w:val="20"/>
                <w:szCs w:val="20"/>
              </w:rPr>
              <w:t xml:space="preserve"> </w:t>
            </w:r>
            <w:proofErr w:type="spellStart"/>
            <w:r w:rsidRPr="00A13006">
              <w:rPr>
                <w:sz w:val="20"/>
                <w:szCs w:val="20"/>
              </w:rPr>
              <w:t>Revocation</w:t>
            </w:r>
            <w:proofErr w:type="spellEnd"/>
            <w:r w:rsidRPr="00A13006">
              <w:rPr>
                <w:sz w:val="20"/>
                <w:szCs w:val="20"/>
              </w:rPr>
              <w:t xml:space="preserve"> List </w:t>
            </w:r>
            <w:r w:rsidR="00714999">
              <w:rPr>
                <w:sz w:val="20"/>
                <w:szCs w:val="20"/>
              </w:rPr>
              <w:t>–</w:t>
            </w:r>
            <w:r w:rsidRPr="00A13006">
              <w:rPr>
                <w:sz w:val="20"/>
                <w:szCs w:val="20"/>
              </w:rPr>
              <w:t xml:space="preserve"> Zoznam zrušených certifikátov</w:t>
            </w:r>
            <w:r>
              <w:rPr>
                <w:sz w:val="20"/>
                <w:szCs w:val="20"/>
              </w:rPr>
              <w:t xml:space="preserve"> </w:t>
            </w:r>
          </w:p>
        </w:tc>
      </w:tr>
      <w:tr w:rsidR="42BAB69C" w:rsidRPr="005D4464" w14:paraId="791EB887"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2E47FBAA" w14:textId="77777777" w:rsidR="42BAB69C" w:rsidRPr="005D4464" w:rsidRDefault="42BAB69C" w:rsidP="005D4464">
            <w:pPr>
              <w:pStyle w:val="OPZTableText"/>
              <w:rPr>
                <w:sz w:val="20"/>
                <w:szCs w:val="20"/>
              </w:rPr>
            </w:pPr>
            <w:r w:rsidRPr="005D4464">
              <w:rPr>
                <w:rFonts w:eastAsia="Aptos Narrow"/>
                <w:sz w:val="20"/>
                <w:szCs w:val="20"/>
              </w:rPr>
              <w:t xml:space="preserve">CUD /CÚD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7EB61C0F" w14:textId="296D5D1D" w:rsidR="42BAB69C" w:rsidRPr="005D4464" w:rsidRDefault="3A3D1DDF" w:rsidP="005D4464">
            <w:pPr>
              <w:pStyle w:val="OPZTableText"/>
              <w:rPr>
                <w:sz w:val="20"/>
                <w:szCs w:val="20"/>
              </w:rPr>
            </w:pPr>
            <w:r w:rsidRPr="005D4464">
              <w:rPr>
                <w:sz w:val="20"/>
                <w:szCs w:val="20"/>
              </w:rPr>
              <w:t xml:space="preserve">Centrálne Úradné Doručovanie / Modul centrálneho úradného doručovania </w:t>
            </w:r>
          </w:p>
        </w:tc>
      </w:tr>
      <w:tr w:rsidR="00C245B9" w:rsidRPr="005D4464" w14:paraId="13D3ADE5"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02DFF9AC" w14:textId="27E69D26" w:rsidR="00C245B9" w:rsidRPr="005D4464" w:rsidRDefault="00C245B9" w:rsidP="005D4464">
            <w:pPr>
              <w:pStyle w:val="OPZTableText"/>
              <w:rPr>
                <w:rFonts w:eastAsia="Aptos Narrow"/>
                <w:sz w:val="20"/>
                <w:szCs w:val="20"/>
              </w:rPr>
            </w:pPr>
            <w:r w:rsidRPr="005D4464">
              <w:rPr>
                <w:sz w:val="20"/>
                <w:szCs w:val="20"/>
              </w:rPr>
              <w:t>CUET</w:t>
            </w:r>
            <w:r w:rsidR="004D4D87" w:rsidRPr="005D4464">
              <w:rPr>
                <w:sz w:val="20"/>
                <w:szCs w:val="20"/>
              </w:rPr>
              <w:t xml:space="preserve"> / CÚET</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579FC5F" w14:textId="65F9F082" w:rsidR="00C245B9" w:rsidRPr="005D4464" w:rsidRDefault="07DAF971" w:rsidP="005D4464">
            <w:pPr>
              <w:pStyle w:val="OPZTableText"/>
              <w:rPr>
                <w:sz w:val="20"/>
                <w:szCs w:val="20"/>
              </w:rPr>
            </w:pPr>
            <w:r w:rsidRPr="005D4464">
              <w:rPr>
                <w:sz w:val="20"/>
                <w:szCs w:val="20"/>
              </w:rPr>
              <w:t xml:space="preserve">Centrálna </w:t>
            </w:r>
            <w:r w:rsidR="67CB13ED" w:rsidRPr="005D4464">
              <w:rPr>
                <w:sz w:val="20"/>
                <w:szCs w:val="20"/>
              </w:rPr>
              <w:t>Ú</w:t>
            </w:r>
            <w:r w:rsidRPr="005D4464">
              <w:rPr>
                <w:sz w:val="20"/>
                <w:szCs w:val="20"/>
              </w:rPr>
              <w:t xml:space="preserve">radná </w:t>
            </w:r>
            <w:r w:rsidR="67CB13ED" w:rsidRPr="005D4464">
              <w:rPr>
                <w:sz w:val="20"/>
                <w:szCs w:val="20"/>
              </w:rPr>
              <w:t>E</w:t>
            </w:r>
            <w:r w:rsidRPr="005D4464">
              <w:rPr>
                <w:sz w:val="20"/>
                <w:szCs w:val="20"/>
              </w:rPr>
              <w:t xml:space="preserve">lektronická </w:t>
            </w:r>
            <w:r w:rsidR="67CB13ED" w:rsidRPr="005D4464">
              <w:rPr>
                <w:sz w:val="20"/>
                <w:szCs w:val="20"/>
              </w:rPr>
              <w:t>T</w:t>
            </w:r>
            <w:r w:rsidRPr="005D4464">
              <w:rPr>
                <w:sz w:val="20"/>
                <w:szCs w:val="20"/>
              </w:rPr>
              <w:t>abuľa</w:t>
            </w:r>
          </w:p>
        </w:tc>
      </w:tr>
      <w:tr w:rsidR="007E1376" w:rsidRPr="005D4464" w14:paraId="013B5A86"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A1812BF" w14:textId="774389D3" w:rsidR="007E1376" w:rsidRPr="005D4464" w:rsidRDefault="007E1376" w:rsidP="005D4464">
            <w:pPr>
              <w:pStyle w:val="OPZTableText"/>
              <w:rPr>
                <w:sz w:val="20"/>
                <w:szCs w:val="20"/>
              </w:rPr>
            </w:pPr>
            <w:r>
              <w:rPr>
                <w:sz w:val="20"/>
                <w:szCs w:val="20"/>
              </w:rPr>
              <w:t>CZU</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89402C7" w14:textId="0D720712" w:rsidR="007E1376" w:rsidRPr="005D4464" w:rsidRDefault="007E1376" w:rsidP="005D4464">
            <w:pPr>
              <w:pStyle w:val="OPZTableText"/>
              <w:rPr>
                <w:sz w:val="20"/>
                <w:szCs w:val="20"/>
              </w:rPr>
            </w:pPr>
            <w:r w:rsidRPr="007E1376">
              <w:rPr>
                <w:sz w:val="20"/>
                <w:szCs w:val="20"/>
              </w:rPr>
              <w:t>Centrálna zbernica udalostí</w:t>
            </w:r>
            <w:r>
              <w:rPr>
                <w:sz w:val="20"/>
                <w:szCs w:val="20"/>
              </w:rPr>
              <w:t xml:space="preserve"> </w:t>
            </w:r>
          </w:p>
        </w:tc>
      </w:tr>
      <w:tr w:rsidR="42BAB69C" w:rsidRPr="005D4464" w14:paraId="7EBBA9EA"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C508A0D" w14:textId="77777777" w:rsidR="42BAB69C" w:rsidRPr="005D4464" w:rsidRDefault="42BAB69C" w:rsidP="005D4464">
            <w:pPr>
              <w:pStyle w:val="OPZTableText"/>
              <w:rPr>
                <w:sz w:val="20"/>
                <w:szCs w:val="20"/>
              </w:rPr>
            </w:pPr>
            <w:r w:rsidRPr="005D4464">
              <w:rPr>
                <w:rFonts w:eastAsia="Aptos Narrow"/>
                <w:sz w:val="20"/>
                <w:szCs w:val="20"/>
              </w:rPr>
              <w:t>DNR</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7CFB193" w14:textId="77777777" w:rsidR="42BAB69C" w:rsidRPr="005D4464" w:rsidRDefault="3A3D1DDF" w:rsidP="005D4464">
            <w:pPr>
              <w:pStyle w:val="OPZTableText"/>
              <w:rPr>
                <w:sz w:val="20"/>
                <w:szCs w:val="20"/>
              </w:rPr>
            </w:pPr>
            <w:r w:rsidRPr="005D4464">
              <w:rPr>
                <w:sz w:val="20"/>
                <w:szCs w:val="20"/>
              </w:rPr>
              <w:t xml:space="preserve">Detailný návrh riešenia </w:t>
            </w:r>
          </w:p>
        </w:tc>
      </w:tr>
      <w:tr w:rsidR="42BAB69C" w:rsidRPr="005D4464" w14:paraId="3A323F4C"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542F8B50" w14:textId="07EB44B5" w:rsidR="42BAB69C" w:rsidRPr="005D4464" w:rsidRDefault="42BAB69C" w:rsidP="005D4464">
            <w:pPr>
              <w:pStyle w:val="OPZTableText"/>
              <w:rPr>
                <w:sz w:val="20"/>
                <w:szCs w:val="20"/>
              </w:rPr>
            </w:pPr>
            <w:r w:rsidRPr="005D4464">
              <w:rPr>
                <w:sz w:val="20"/>
                <w:szCs w:val="20"/>
              </w:rPr>
              <w:t>DWH</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59B3162E" w14:textId="0E066E76" w:rsidR="42BAB69C" w:rsidRPr="005D4464" w:rsidRDefault="3A3D1DDF" w:rsidP="005D4464">
            <w:pPr>
              <w:pStyle w:val="OPZTableText"/>
              <w:rPr>
                <w:sz w:val="20"/>
                <w:szCs w:val="20"/>
              </w:rPr>
            </w:pPr>
            <w:proofErr w:type="spellStart"/>
            <w:r w:rsidRPr="005D4464">
              <w:rPr>
                <w:sz w:val="20"/>
                <w:szCs w:val="20"/>
              </w:rPr>
              <w:t>Data</w:t>
            </w:r>
            <w:proofErr w:type="spellEnd"/>
            <w:r w:rsidRPr="005D4464">
              <w:rPr>
                <w:sz w:val="20"/>
                <w:szCs w:val="20"/>
              </w:rPr>
              <w:t xml:space="preserve"> </w:t>
            </w:r>
            <w:proofErr w:type="spellStart"/>
            <w:r w:rsidRPr="005D4464">
              <w:rPr>
                <w:sz w:val="20"/>
                <w:szCs w:val="20"/>
              </w:rPr>
              <w:t>warehouse</w:t>
            </w:r>
            <w:proofErr w:type="spellEnd"/>
            <w:r w:rsidRPr="005D4464">
              <w:rPr>
                <w:sz w:val="20"/>
                <w:szCs w:val="20"/>
              </w:rPr>
              <w:t> (DWH)</w:t>
            </w:r>
            <w:r w:rsidR="77D49C69" w:rsidRPr="005D4464">
              <w:rPr>
                <w:sz w:val="20"/>
                <w:szCs w:val="20"/>
              </w:rPr>
              <w:t xml:space="preserve"> - digitálny úložný systém, ktorý spája a harmonizuje veľké množstvo dát z mnohých rôznych zdrojov</w:t>
            </w:r>
          </w:p>
        </w:tc>
      </w:tr>
      <w:tr w:rsidR="42BAB69C" w:rsidRPr="005D4464" w14:paraId="0C779914"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58E5C15C" w14:textId="77777777" w:rsidR="42BAB69C" w:rsidRPr="005D4464" w:rsidRDefault="42BAB69C" w:rsidP="005D4464">
            <w:pPr>
              <w:pStyle w:val="OPZTableText"/>
              <w:rPr>
                <w:sz w:val="20"/>
                <w:szCs w:val="20"/>
              </w:rPr>
            </w:pPr>
            <w:r w:rsidRPr="005D4464">
              <w:rPr>
                <w:rFonts w:eastAsia="Aptos Narrow"/>
                <w:sz w:val="20"/>
                <w:szCs w:val="20"/>
              </w:rPr>
              <w:t xml:space="preserve">eDesk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37C5070" w14:textId="77777777" w:rsidR="42BAB69C" w:rsidRPr="005D4464" w:rsidRDefault="3A3D1DDF" w:rsidP="005D4464">
            <w:pPr>
              <w:pStyle w:val="OPZTableText"/>
              <w:rPr>
                <w:sz w:val="20"/>
                <w:szCs w:val="20"/>
              </w:rPr>
            </w:pPr>
            <w:r w:rsidRPr="005D4464">
              <w:rPr>
                <w:sz w:val="20"/>
                <w:szCs w:val="20"/>
              </w:rPr>
              <w:t xml:space="preserve">Modul elektronických komunikačných schránok ÚPVS  </w:t>
            </w:r>
          </w:p>
        </w:tc>
      </w:tr>
      <w:tr w:rsidR="42BAB69C" w:rsidRPr="005D4464" w14:paraId="62103D1B" w14:textId="77777777" w:rsidTr="48BD72F8">
        <w:trPr>
          <w:trHeight w:val="6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1C2A6911" w14:textId="77777777" w:rsidR="42BAB69C" w:rsidRPr="005D4464" w:rsidRDefault="42BAB69C" w:rsidP="005D4464">
            <w:pPr>
              <w:pStyle w:val="OPZTableText"/>
              <w:rPr>
                <w:sz w:val="20"/>
                <w:szCs w:val="20"/>
              </w:rPr>
            </w:pPr>
            <w:proofErr w:type="spellStart"/>
            <w:r w:rsidRPr="005D4464">
              <w:rPr>
                <w:sz w:val="20"/>
                <w:szCs w:val="20"/>
              </w:rPr>
              <w:t>eIDAS</w:t>
            </w:r>
            <w:proofErr w:type="spellEnd"/>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7D03A580" w14:textId="3C595633" w:rsidR="42BAB69C" w:rsidRPr="005D4464" w:rsidRDefault="3A3D1DDF" w:rsidP="005D4464">
            <w:pPr>
              <w:pStyle w:val="OPZTableText"/>
              <w:rPr>
                <w:sz w:val="20"/>
                <w:szCs w:val="20"/>
              </w:rPr>
            </w:pPr>
            <w:proofErr w:type="spellStart"/>
            <w:r w:rsidRPr="005D4464">
              <w:rPr>
                <w:sz w:val="20"/>
                <w:szCs w:val="20"/>
              </w:rPr>
              <w:t>electronic</w:t>
            </w:r>
            <w:proofErr w:type="spellEnd"/>
            <w:r w:rsidRPr="005D4464">
              <w:rPr>
                <w:sz w:val="20"/>
                <w:szCs w:val="20"/>
              </w:rPr>
              <w:t xml:space="preserve"> </w:t>
            </w:r>
            <w:proofErr w:type="spellStart"/>
            <w:r w:rsidRPr="005D4464">
              <w:rPr>
                <w:sz w:val="20"/>
                <w:szCs w:val="20"/>
              </w:rPr>
              <w:t>IDentification</w:t>
            </w:r>
            <w:proofErr w:type="spellEnd"/>
            <w:r w:rsidRPr="005D4464">
              <w:rPr>
                <w:sz w:val="20"/>
                <w:szCs w:val="20"/>
              </w:rPr>
              <w:t xml:space="preserve">, </w:t>
            </w:r>
            <w:proofErr w:type="spellStart"/>
            <w:r w:rsidRPr="005D4464">
              <w:rPr>
                <w:sz w:val="20"/>
                <w:szCs w:val="20"/>
              </w:rPr>
              <w:t>Authentication</w:t>
            </w:r>
            <w:proofErr w:type="spellEnd"/>
            <w:r w:rsidRPr="005D4464">
              <w:rPr>
                <w:sz w:val="20"/>
                <w:szCs w:val="20"/>
              </w:rPr>
              <w:t xml:space="preserve"> and trust </w:t>
            </w:r>
            <w:proofErr w:type="spellStart"/>
            <w:r w:rsidRPr="005D4464">
              <w:rPr>
                <w:sz w:val="20"/>
                <w:szCs w:val="20"/>
              </w:rPr>
              <w:t>Services</w:t>
            </w:r>
            <w:proofErr w:type="spellEnd"/>
            <w:r w:rsidRPr="005D4464">
              <w:rPr>
                <w:sz w:val="20"/>
                <w:szCs w:val="20"/>
              </w:rPr>
              <w:t xml:space="preserve"> </w:t>
            </w:r>
            <w:r w:rsidR="006A74CB">
              <w:rPr>
                <w:sz w:val="20"/>
                <w:szCs w:val="20"/>
              </w:rPr>
              <w:t>–</w:t>
            </w:r>
            <w:r w:rsidRPr="005D4464">
              <w:rPr>
                <w:sz w:val="20"/>
                <w:szCs w:val="20"/>
              </w:rPr>
              <w:t xml:space="preserve"> Nariadenie Európskeho Parlamentu a Rady (EÚ) o elektronickej identifikácii a dôveryhodných službách </w:t>
            </w:r>
          </w:p>
        </w:tc>
      </w:tr>
      <w:tr w:rsidR="42BAB69C" w:rsidRPr="005D4464" w14:paraId="20C8EEF5"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1F456230" w14:textId="77777777" w:rsidR="42BAB69C" w:rsidRPr="005D4464" w:rsidRDefault="42BAB69C" w:rsidP="005D4464">
            <w:pPr>
              <w:pStyle w:val="OPZTableText"/>
              <w:rPr>
                <w:sz w:val="20"/>
                <w:szCs w:val="20"/>
              </w:rPr>
            </w:pPr>
            <w:r w:rsidRPr="005D4464">
              <w:rPr>
                <w:sz w:val="20"/>
                <w:szCs w:val="20"/>
              </w:rPr>
              <w:t>FO</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5393ACB" w14:textId="77777777" w:rsidR="42BAB69C" w:rsidRPr="005D4464" w:rsidRDefault="3A3D1DDF" w:rsidP="005D4464">
            <w:pPr>
              <w:pStyle w:val="OPZTableText"/>
              <w:rPr>
                <w:sz w:val="20"/>
                <w:szCs w:val="20"/>
              </w:rPr>
            </w:pPr>
            <w:r w:rsidRPr="005D4464">
              <w:rPr>
                <w:sz w:val="20"/>
                <w:szCs w:val="20"/>
              </w:rPr>
              <w:t>Fyzická osoba</w:t>
            </w:r>
          </w:p>
        </w:tc>
      </w:tr>
      <w:tr w:rsidR="42BAB69C" w:rsidRPr="005D4464" w14:paraId="18609A99"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0005517" w14:textId="77777777" w:rsidR="42BAB69C" w:rsidRPr="005D4464" w:rsidRDefault="42BAB69C" w:rsidP="005D4464">
            <w:pPr>
              <w:pStyle w:val="OPZTableText"/>
              <w:rPr>
                <w:sz w:val="20"/>
                <w:szCs w:val="20"/>
              </w:rPr>
            </w:pPr>
            <w:r w:rsidRPr="005D4464">
              <w:rPr>
                <w:sz w:val="20"/>
                <w:szCs w:val="20"/>
              </w:rPr>
              <w:t>G2G</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314629C1" w14:textId="6741DD15" w:rsidR="42BAB69C" w:rsidRPr="005D4464" w:rsidRDefault="3A3D1DDF" w:rsidP="005D4464">
            <w:pPr>
              <w:pStyle w:val="OPZTableText"/>
              <w:rPr>
                <w:sz w:val="20"/>
                <w:szCs w:val="20"/>
              </w:rPr>
            </w:pPr>
            <w:proofErr w:type="spellStart"/>
            <w:r w:rsidRPr="005D4464">
              <w:rPr>
                <w:sz w:val="20"/>
                <w:szCs w:val="20"/>
              </w:rPr>
              <w:t>Government</w:t>
            </w:r>
            <w:proofErr w:type="spellEnd"/>
            <w:r w:rsidRPr="005D4464">
              <w:rPr>
                <w:sz w:val="20"/>
                <w:szCs w:val="20"/>
              </w:rPr>
              <w:t xml:space="preserve"> to </w:t>
            </w:r>
            <w:proofErr w:type="spellStart"/>
            <w:r w:rsidRPr="005D4464">
              <w:rPr>
                <w:sz w:val="20"/>
                <w:szCs w:val="20"/>
              </w:rPr>
              <w:t>Government</w:t>
            </w:r>
            <w:proofErr w:type="spellEnd"/>
            <w:r w:rsidR="00A204FF">
              <w:rPr>
                <w:sz w:val="20"/>
                <w:szCs w:val="20"/>
              </w:rPr>
              <w:t>,</w:t>
            </w:r>
            <w:r w:rsidRPr="005D4464">
              <w:rPr>
                <w:sz w:val="20"/>
                <w:szCs w:val="20"/>
              </w:rPr>
              <w:t xml:space="preserve"> </w:t>
            </w:r>
            <w:r w:rsidR="00A204FF" w:rsidRPr="00A204FF">
              <w:rPr>
                <w:sz w:val="20"/>
                <w:szCs w:val="20"/>
              </w:rPr>
              <w:t>Modul G2G ÚPVS, súčasť komunikačnej časti modulu procesnej integrácie a integrácie údajov Modul ÚPVS vykonávajúci spracovanie synchrónnych a asynchrónnych požiadaviek vrátane orchestrácií komplexnejších procesov v rámci výkonu verejnej správy</w:t>
            </w:r>
            <w:r w:rsidR="00A204FF">
              <w:rPr>
                <w:sz w:val="20"/>
                <w:szCs w:val="20"/>
              </w:rPr>
              <w:t xml:space="preserve"> </w:t>
            </w:r>
          </w:p>
        </w:tc>
      </w:tr>
      <w:tr w:rsidR="42BAB69C" w:rsidRPr="005D4464" w14:paraId="2DC88B70" w14:textId="77777777" w:rsidTr="48BD72F8">
        <w:trPr>
          <w:trHeight w:val="6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65B3BA4" w14:textId="77777777" w:rsidR="42BAB69C" w:rsidRPr="005D4464" w:rsidRDefault="42BAB69C" w:rsidP="005D4464">
            <w:pPr>
              <w:pStyle w:val="OPZTableText"/>
              <w:rPr>
                <w:sz w:val="20"/>
                <w:szCs w:val="20"/>
              </w:rPr>
            </w:pPr>
            <w:r w:rsidRPr="005D4464">
              <w:rPr>
                <w:sz w:val="20"/>
                <w:szCs w:val="20"/>
              </w:rPr>
              <w:t>GDPR</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9F44F7D" w14:textId="17E8E9C5" w:rsidR="42BAB69C" w:rsidRPr="005D4464" w:rsidRDefault="3A3D1DDF" w:rsidP="005D4464">
            <w:pPr>
              <w:pStyle w:val="OPZTableText"/>
              <w:rPr>
                <w:sz w:val="20"/>
                <w:szCs w:val="20"/>
              </w:rPr>
            </w:pPr>
            <w:r w:rsidRPr="005D4464">
              <w:rPr>
                <w:sz w:val="20"/>
                <w:szCs w:val="20"/>
              </w:rPr>
              <w:t xml:space="preserve">General </w:t>
            </w:r>
            <w:proofErr w:type="spellStart"/>
            <w:r w:rsidRPr="005D4464">
              <w:rPr>
                <w:sz w:val="20"/>
                <w:szCs w:val="20"/>
              </w:rPr>
              <w:t>Data</w:t>
            </w:r>
            <w:proofErr w:type="spellEnd"/>
            <w:r w:rsidRPr="005D4464">
              <w:rPr>
                <w:sz w:val="20"/>
                <w:szCs w:val="20"/>
              </w:rPr>
              <w:t xml:space="preserve"> </w:t>
            </w:r>
            <w:proofErr w:type="spellStart"/>
            <w:r w:rsidRPr="005D4464">
              <w:rPr>
                <w:sz w:val="20"/>
                <w:szCs w:val="20"/>
              </w:rPr>
              <w:t>Protection</w:t>
            </w:r>
            <w:proofErr w:type="spellEnd"/>
            <w:r w:rsidRPr="005D4464">
              <w:rPr>
                <w:sz w:val="20"/>
                <w:szCs w:val="20"/>
              </w:rPr>
              <w:t xml:space="preserve"> </w:t>
            </w:r>
            <w:proofErr w:type="spellStart"/>
            <w:r w:rsidRPr="005D4464">
              <w:rPr>
                <w:sz w:val="20"/>
                <w:szCs w:val="20"/>
              </w:rPr>
              <w:t>Regulation</w:t>
            </w:r>
            <w:proofErr w:type="spellEnd"/>
            <w:r w:rsidRPr="005D4464">
              <w:rPr>
                <w:sz w:val="20"/>
                <w:szCs w:val="20"/>
              </w:rPr>
              <w:t>; Nariadenie Európskeho parlamentu a Rady (EÚ) 2016/679 o ochrane fyzických osôb pri spracúvaní osobných údajov a</w:t>
            </w:r>
            <w:r w:rsidR="00853F61">
              <w:rPr>
                <w:sz w:val="20"/>
                <w:szCs w:val="20"/>
              </w:rPr>
              <w:t> </w:t>
            </w:r>
            <w:r w:rsidRPr="005D4464">
              <w:rPr>
                <w:sz w:val="20"/>
                <w:szCs w:val="20"/>
              </w:rPr>
              <w:t>o</w:t>
            </w:r>
            <w:r w:rsidR="00853F61">
              <w:rPr>
                <w:sz w:val="20"/>
                <w:szCs w:val="20"/>
              </w:rPr>
              <w:t> </w:t>
            </w:r>
            <w:r w:rsidRPr="005D4464">
              <w:rPr>
                <w:sz w:val="20"/>
                <w:szCs w:val="20"/>
              </w:rPr>
              <w:t xml:space="preserve">voľnom pohybe takýchto údajov </w:t>
            </w:r>
          </w:p>
        </w:tc>
      </w:tr>
      <w:tr w:rsidR="007C6209" w:rsidRPr="005D4464" w14:paraId="23C40EC9" w14:textId="77777777" w:rsidTr="007C6209">
        <w:trPr>
          <w:trHeight w:val="79"/>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DE9E754" w14:textId="07215F28" w:rsidR="007C6209" w:rsidRPr="005D4464" w:rsidRDefault="007C6209" w:rsidP="005D4464">
            <w:pPr>
              <w:pStyle w:val="OPZTableText"/>
              <w:rPr>
                <w:sz w:val="20"/>
                <w:szCs w:val="20"/>
              </w:rPr>
            </w:pPr>
            <w:proofErr w:type="spellStart"/>
            <w:r w:rsidRPr="007C6209">
              <w:rPr>
                <w:sz w:val="20"/>
                <w:szCs w:val="20"/>
              </w:rPr>
              <w:t>GovNET</w:t>
            </w:r>
            <w:proofErr w:type="spellEnd"/>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15C7A14" w14:textId="223EB013" w:rsidR="007C6209" w:rsidRPr="005D4464" w:rsidRDefault="007C6209" w:rsidP="005D4464">
            <w:pPr>
              <w:pStyle w:val="OPZTableText"/>
              <w:rPr>
                <w:sz w:val="20"/>
                <w:szCs w:val="20"/>
              </w:rPr>
            </w:pPr>
            <w:r w:rsidRPr="007C6209">
              <w:rPr>
                <w:sz w:val="20"/>
                <w:szCs w:val="20"/>
              </w:rPr>
              <w:t xml:space="preserve">General </w:t>
            </w:r>
            <w:proofErr w:type="spellStart"/>
            <w:r w:rsidRPr="007C6209">
              <w:rPr>
                <w:sz w:val="20"/>
                <w:szCs w:val="20"/>
              </w:rPr>
              <w:t>Data</w:t>
            </w:r>
            <w:proofErr w:type="spellEnd"/>
            <w:r w:rsidRPr="007C6209">
              <w:rPr>
                <w:sz w:val="20"/>
                <w:szCs w:val="20"/>
              </w:rPr>
              <w:t xml:space="preserve"> </w:t>
            </w:r>
            <w:proofErr w:type="spellStart"/>
            <w:r w:rsidRPr="007C6209">
              <w:rPr>
                <w:sz w:val="20"/>
                <w:szCs w:val="20"/>
              </w:rPr>
              <w:t>Protection</w:t>
            </w:r>
            <w:proofErr w:type="spellEnd"/>
            <w:r w:rsidRPr="007C6209">
              <w:rPr>
                <w:sz w:val="20"/>
                <w:szCs w:val="20"/>
              </w:rPr>
              <w:t xml:space="preserve"> </w:t>
            </w:r>
            <w:proofErr w:type="spellStart"/>
            <w:r w:rsidRPr="007C6209">
              <w:rPr>
                <w:sz w:val="20"/>
                <w:szCs w:val="20"/>
              </w:rPr>
              <w:t>Regulation</w:t>
            </w:r>
            <w:proofErr w:type="spellEnd"/>
            <w:r>
              <w:rPr>
                <w:sz w:val="20"/>
                <w:szCs w:val="20"/>
              </w:rPr>
              <w:t xml:space="preserve"> </w:t>
            </w:r>
          </w:p>
        </w:tc>
      </w:tr>
      <w:tr w:rsidR="42BAB69C" w:rsidRPr="005D4464" w14:paraId="67BFBEFA" w14:textId="77777777" w:rsidTr="48BD72F8">
        <w:trPr>
          <w:trHeight w:val="465"/>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D1D2832" w14:textId="77777777" w:rsidR="42BAB69C" w:rsidRPr="005D4464" w:rsidRDefault="42BAB69C" w:rsidP="005D4464">
            <w:pPr>
              <w:pStyle w:val="OPZTableText"/>
              <w:rPr>
                <w:sz w:val="20"/>
                <w:szCs w:val="20"/>
              </w:rPr>
            </w:pPr>
            <w:r w:rsidRPr="005D4464">
              <w:rPr>
                <w:sz w:val="20"/>
                <w:szCs w:val="20"/>
              </w:rPr>
              <w:t xml:space="preserve">GUI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3E714896" w14:textId="77777777" w:rsidR="42BAB69C" w:rsidRPr="005D4464" w:rsidRDefault="3A3D1DDF" w:rsidP="005D4464">
            <w:pPr>
              <w:pStyle w:val="OPZTableText"/>
              <w:rPr>
                <w:sz w:val="20"/>
                <w:szCs w:val="20"/>
              </w:rPr>
            </w:pPr>
            <w:r w:rsidRPr="005D4464">
              <w:rPr>
                <w:sz w:val="20"/>
                <w:szCs w:val="20"/>
              </w:rPr>
              <w:t>Grafické používateľské rozhranie (</w:t>
            </w:r>
            <w:proofErr w:type="spellStart"/>
            <w:r w:rsidRPr="005D4464">
              <w:rPr>
                <w:sz w:val="20"/>
                <w:szCs w:val="20"/>
              </w:rPr>
              <w:t>Graphical</w:t>
            </w:r>
            <w:proofErr w:type="spellEnd"/>
            <w:r w:rsidRPr="005D4464">
              <w:rPr>
                <w:sz w:val="20"/>
                <w:szCs w:val="20"/>
              </w:rPr>
              <w:t xml:space="preserve"> user interface)  </w:t>
            </w:r>
          </w:p>
        </w:tc>
      </w:tr>
      <w:tr w:rsidR="007A239B" w:rsidRPr="005D4464" w14:paraId="5743D977"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0444190" w14:textId="766BC722" w:rsidR="007A239B" w:rsidRPr="005D4464" w:rsidRDefault="007A239B" w:rsidP="005D4464">
            <w:pPr>
              <w:pStyle w:val="OPZTableText"/>
              <w:rPr>
                <w:sz w:val="20"/>
                <w:szCs w:val="20"/>
              </w:rPr>
            </w:pPr>
            <w:r w:rsidRPr="005D4464">
              <w:rPr>
                <w:sz w:val="20"/>
                <w:szCs w:val="20"/>
              </w:rPr>
              <w:t xml:space="preserve">HA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4593EEFA" w14:textId="3648B5D7" w:rsidR="007A239B" w:rsidRPr="005D4464" w:rsidRDefault="7195929F" w:rsidP="005D4464">
            <w:pPr>
              <w:pStyle w:val="OPZTableText"/>
              <w:rPr>
                <w:sz w:val="20"/>
                <w:szCs w:val="20"/>
              </w:rPr>
            </w:pPr>
            <w:proofErr w:type="spellStart"/>
            <w:r w:rsidRPr="005D4464">
              <w:rPr>
                <w:sz w:val="20"/>
                <w:szCs w:val="20"/>
              </w:rPr>
              <w:t>High</w:t>
            </w:r>
            <w:proofErr w:type="spellEnd"/>
            <w:r w:rsidRPr="005D4464">
              <w:rPr>
                <w:sz w:val="20"/>
                <w:szCs w:val="20"/>
              </w:rPr>
              <w:t xml:space="preserve"> </w:t>
            </w:r>
            <w:proofErr w:type="spellStart"/>
            <w:r w:rsidRPr="005D4464">
              <w:rPr>
                <w:sz w:val="20"/>
                <w:szCs w:val="20"/>
              </w:rPr>
              <w:t>Availability</w:t>
            </w:r>
            <w:proofErr w:type="spellEnd"/>
            <w:r w:rsidRPr="005D4464">
              <w:rPr>
                <w:sz w:val="20"/>
                <w:szCs w:val="20"/>
              </w:rPr>
              <w:t xml:space="preserve">  </w:t>
            </w:r>
          </w:p>
        </w:tc>
      </w:tr>
      <w:tr w:rsidR="007C6209" w:rsidRPr="005D4464" w14:paraId="628370BD"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17AAC461" w14:textId="596CBFF7" w:rsidR="007C6209" w:rsidRPr="005D4464" w:rsidRDefault="00107C8F" w:rsidP="005D4464">
            <w:pPr>
              <w:pStyle w:val="OPZTableText"/>
              <w:rPr>
                <w:sz w:val="20"/>
                <w:szCs w:val="20"/>
              </w:rPr>
            </w:pPr>
            <w:r>
              <w:rPr>
                <w:sz w:val="20"/>
                <w:szCs w:val="20"/>
              </w:rPr>
              <w:t>HSM</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0D3C6F38" w14:textId="23DB869D" w:rsidR="007C6209" w:rsidRPr="005D4464" w:rsidRDefault="00107C8F" w:rsidP="005D4464">
            <w:pPr>
              <w:pStyle w:val="OPZTableText"/>
              <w:rPr>
                <w:sz w:val="20"/>
                <w:szCs w:val="20"/>
              </w:rPr>
            </w:pPr>
            <w:r w:rsidRPr="00107C8F">
              <w:rPr>
                <w:sz w:val="20"/>
                <w:szCs w:val="20"/>
              </w:rPr>
              <w:t xml:space="preserve">Hardware </w:t>
            </w:r>
            <w:proofErr w:type="spellStart"/>
            <w:r w:rsidRPr="00107C8F">
              <w:rPr>
                <w:sz w:val="20"/>
                <w:szCs w:val="20"/>
              </w:rPr>
              <w:t>Security</w:t>
            </w:r>
            <w:proofErr w:type="spellEnd"/>
            <w:r w:rsidRPr="00107C8F">
              <w:rPr>
                <w:sz w:val="20"/>
                <w:szCs w:val="20"/>
              </w:rPr>
              <w:t xml:space="preserve"> Module </w:t>
            </w:r>
            <w:r w:rsidR="00AB7BE5">
              <w:rPr>
                <w:sz w:val="20"/>
                <w:szCs w:val="20"/>
              </w:rPr>
              <w:t>–</w:t>
            </w:r>
            <w:r w:rsidRPr="00107C8F">
              <w:rPr>
                <w:sz w:val="20"/>
                <w:szCs w:val="20"/>
              </w:rPr>
              <w:t xml:space="preserve"> Kryptografický modul hardvérovej ochrany kľúča</w:t>
            </w:r>
            <w:r>
              <w:rPr>
                <w:sz w:val="20"/>
                <w:szCs w:val="20"/>
              </w:rPr>
              <w:t xml:space="preserve"> </w:t>
            </w:r>
          </w:p>
        </w:tc>
      </w:tr>
      <w:tr w:rsidR="42BAB69C" w:rsidRPr="005D4464" w14:paraId="0D942071"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22020C6A" w14:textId="77777777" w:rsidR="42BAB69C" w:rsidRPr="005D4464" w:rsidRDefault="42BAB69C" w:rsidP="005D4464">
            <w:pPr>
              <w:pStyle w:val="OPZTableText"/>
              <w:rPr>
                <w:sz w:val="20"/>
                <w:szCs w:val="20"/>
              </w:rPr>
            </w:pPr>
            <w:r w:rsidRPr="005D4464">
              <w:rPr>
                <w:sz w:val="20"/>
                <w:szCs w:val="20"/>
              </w:rPr>
              <w:t>IAM</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361493FE" w14:textId="50D6A699" w:rsidR="42BAB69C" w:rsidRPr="005D4464" w:rsidRDefault="3A3D1DDF" w:rsidP="005D4464">
            <w:pPr>
              <w:pStyle w:val="OPZTableText"/>
              <w:rPr>
                <w:sz w:val="20"/>
                <w:szCs w:val="20"/>
              </w:rPr>
            </w:pPr>
            <w:proofErr w:type="spellStart"/>
            <w:r w:rsidRPr="005D4464">
              <w:rPr>
                <w:sz w:val="20"/>
                <w:szCs w:val="20"/>
              </w:rPr>
              <w:t>Identiy</w:t>
            </w:r>
            <w:proofErr w:type="spellEnd"/>
            <w:r w:rsidRPr="005D4464">
              <w:rPr>
                <w:sz w:val="20"/>
                <w:szCs w:val="20"/>
              </w:rPr>
              <w:t xml:space="preserve"> Access Management - Správa identity používateľa. / Autentifikačný Modul  v</w:t>
            </w:r>
            <w:r w:rsidR="001101D1">
              <w:rPr>
                <w:sz w:val="20"/>
                <w:szCs w:val="20"/>
              </w:rPr>
              <w:t> </w:t>
            </w:r>
            <w:r w:rsidRPr="005D4464">
              <w:rPr>
                <w:sz w:val="20"/>
                <w:szCs w:val="20"/>
              </w:rPr>
              <w:t xml:space="preserve">rámci ÚPVS </w:t>
            </w:r>
          </w:p>
        </w:tc>
      </w:tr>
      <w:tr w:rsidR="00185460" w:rsidRPr="005D4464" w14:paraId="353E7A3B" w14:textId="77777777" w:rsidTr="004E362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tcPr>
          <w:p w14:paraId="02A047F6" w14:textId="7B06B588" w:rsidR="00185460" w:rsidRPr="00185460" w:rsidRDefault="00185460" w:rsidP="00185460">
            <w:pPr>
              <w:pStyle w:val="OPZTableText"/>
              <w:rPr>
                <w:sz w:val="20"/>
                <w:szCs w:val="20"/>
              </w:rPr>
            </w:pPr>
            <w:r w:rsidRPr="00185460">
              <w:rPr>
                <w:sz w:val="20"/>
                <w:szCs w:val="20"/>
              </w:rPr>
              <w:t xml:space="preserve">KEP (ZEP)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tcPr>
          <w:p w14:paraId="59F55EB0" w14:textId="4B6F1559" w:rsidR="00185460" w:rsidRPr="00185460" w:rsidRDefault="00185460" w:rsidP="00185460">
            <w:pPr>
              <w:pStyle w:val="OPZTableText"/>
              <w:rPr>
                <w:sz w:val="20"/>
                <w:szCs w:val="20"/>
              </w:rPr>
            </w:pPr>
            <w:r w:rsidRPr="00185460">
              <w:rPr>
                <w:sz w:val="20"/>
                <w:szCs w:val="20"/>
              </w:rPr>
              <w:t xml:space="preserve">Kvalifikovaný elektronický podpis (Zaručený elektronický podpis) </w:t>
            </w:r>
          </w:p>
        </w:tc>
      </w:tr>
      <w:tr w:rsidR="00185460" w:rsidRPr="005D4464" w14:paraId="12E8E82C" w14:textId="77777777" w:rsidTr="004E362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tcPr>
          <w:p w14:paraId="4DF4729C" w14:textId="7F92DA4F" w:rsidR="00185460" w:rsidRPr="00185460" w:rsidRDefault="00185460" w:rsidP="00185460">
            <w:pPr>
              <w:pStyle w:val="OPZTableText"/>
              <w:rPr>
                <w:sz w:val="20"/>
                <w:szCs w:val="20"/>
              </w:rPr>
            </w:pPr>
            <w:proofErr w:type="spellStart"/>
            <w:r w:rsidRPr="00185460">
              <w:rPr>
                <w:sz w:val="20"/>
                <w:szCs w:val="20"/>
              </w:rPr>
              <w:t>KEPe</w:t>
            </w:r>
            <w:proofErr w:type="spellEnd"/>
            <w:r w:rsidRPr="00185460">
              <w:rPr>
                <w:sz w:val="20"/>
                <w:szCs w:val="20"/>
              </w:rPr>
              <w:t xml:space="preserve"> / KEPE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tcPr>
          <w:p w14:paraId="35DDA3FD" w14:textId="3FCE06E1" w:rsidR="00185460" w:rsidRPr="00185460" w:rsidRDefault="00185460" w:rsidP="00185460">
            <w:pPr>
              <w:pStyle w:val="OPZTableText"/>
              <w:rPr>
                <w:sz w:val="20"/>
                <w:szCs w:val="20"/>
              </w:rPr>
            </w:pPr>
            <w:r w:rsidRPr="00185460">
              <w:rPr>
                <w:sz w:val="20"/>
                <w:szCs w:val="20"/>
              </w:rPr>
              <w:t>Kvalifikovaná Elektronická Pečať</w:t>
            </w:r>
          </w:p>
        </w:tc>
      </w:tr>
      <w:tr w:rsidR="00185460" w:rsidRPr="005D4464" w14:paraId="5A5C96F9" w14:textId="77777777" w:rsidTr="004E362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tcPr>
          <w:p w14:paraId="3187FB6E" w14:textId="5DEABB15" w:rsidR="00185460" w:rsidRPr="00185460" w:rsidRDefault="00185460" w:rsidP="00185460">
            <w:pPr>
              <w:pStyle w:val="OPZTableText"/>
              <w:rPr>
                <w:sz w:val="20"/>
                <w:szCs w:val="20"/>
              </w:rPr>
            </w:pPr>
            <w:r w:rsidRPr="00185460">
              <w:rPr>
                <w:sz w:val="20"/>
                <w:szCs w:val="20"/>
              </w:rPr>
              <w:t>LOTL</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tcPr>
          <w:p w14:paraId="48C5766A" w14:textId="4144848B" w:rsidR="00185460" w:rsidRPr="00185460" w:rsidRDefault="00185460" w:rsidP="00185460">
            <w:pPr>
              <w:pStyle w:val="OPZTableText"/>
              <w:rPr>
                <w:sz w:val="20"/>
                <w:szCs w:val="20"/>
              </w:rPr>
            </w:pPr>
            <w:r w:rsidRPr="00185460">
              <w:rPr>
                <w:sz w:val="20"/>
                <w:szCs w:val="20"/>
              </w:rPr>
              <w:t xml:space="preserve">List of </w:t>
            </w:r>
            <w:proofErr w:type="spellStart"/>
            <w:r w:rsidRPr="00185460">
              <w:rPr>
                <w:sz w:val="20"/>
                <w:szCs w:val="20"/>
              </w:rPr>
              <w:t>trusted</w:t>
            </w:r>
            <w:proofErr w:type="spellEnd"/>
            <w:r w:rsidRPr="00185460">
              <w:rPr>
                <w:sz w:val="20"/>
                <w:szCs w:val="20"/>
              </w:rPr>
              <w:t xml:space="preserve"> </w:t>
            </w:r>
            <w:proofErr w:type="spellStart"/>
            <w:r w:rsidRPr="00185460">
              <w:rPr>
                <w:sz w:val="20"/>
                <w:szCs w:val="20"/>
              </w:rPr>
              <w:t>lists</w:t>
            </w:r>
            <w:proofErr w:type="spellEnd"/>
            <w:r w:rsidRPr="00185460">
              <w:rPr>
                <w:sz w:val="20"/>
                <w:szCs w:val="20"/>
              </w:rPr>
              <w:t xml:space="preserve"> </w:t>
            </w:r>
            <w:r>
              <w:rPr>
                <w:sz w:val="20"/>
                <w:szCs w:val="20"/>
              </w:rPr>
              <w:t>–</w:t>
            </w:r>
            <w:r w:rsidRPr="00185460">
              <w:rPr>
                <w:sz w:val="20"/>
                <w:szCs w:val="20"/>
              </w:rPr>
              <w:t xml:space="preserve"> Zoznam dôveryhodných zoznamov v zmysle legislatívy EÚ (napr. Informácia 2019/C 276/01 zverejnená v Úradnom vestníku EÚ a Nariadenie </w:t>
            </w:r>
            <w:proofErr w:type="spellStart"/>
            <w:r w:rsidRPr="00185460">
              <w:rPr>
                <w:sz w:val="20"/>
                <w:szCs w:val="20"/>
              </w:rPr>
              <w:t>eIDAS</w:t>
            </w:r>
            <w:proofErr w:type="spellEnd"/>
            <w:r w:rsidRPr="00185460">
              <w:rPr>
                <w:sz w:val="20"/>
                <w:szCs w:val="20"/>
              </w:rPr>
              <w:t>)</w:t>
            </w:r>
          </w:p>
        </w:tc>
      </w:tr>
      <w:tr w:rsidR="00185460" w:rsidRPr="005D4464" w14:paraId="2A1111D5"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04ACBE21" w14:textId="508D6F6C" w:rsidR="00185460" w:rsidRPr="005D4464" w:rsidRDefault="00185460" w:rsidP="00185460">
            <w:pPr>
              <w:pStyle w:val="OPZTableText"/>
              <w:rPr>
                <w:sz w:val="20"/>
                <w:szCs w:val="20"/>
              </w:rPr>
            </w:pPr>
            <w:r w:rsidRPr="005D4464">
              <w:rPr>
                <w:sz w:val="20"/>
                <w:szCs w:val="20"/>
              </w:rPr>
              <w:t>MED</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2C840C0" w14:textId="78CE61FD" w:rsidR="00185460" w:rsidRPr="005D4464" w:rsidRDefault="00185460" w:rsidP="00185460">
            <w:pPr>
              <w:pStyle w:val="OPZTableText"/>
              <w:rPr>
                <w:sz w:val="20"/>
                <w:szCs w:val="20"/>
              </w:rPr>
            </w:pPr>
            <w:r w:rsidRPr="005D4464">
              <w:rPr>
                <w:sz w:val="20"/>
                <w:szCs w:val="20"/>
              </w:rPr>
              <w:t>Modul elektronického doručovania</w:t>
            </w:r>
          </w:p>
        </w:tc>
      </w:tr>
      <w:tr w:rsidR="00167FF6" w:rsidRPr="005D4464" w14:paraId="70F793FD"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5C64EA9" w14:textId="538657FD" w:rsidR="00167FF6" w:rsidRPr="005D4464" w:rsidRDefault="00167FF6" w:rsidP="00185460">
            <w:pPr>
              <w:pStyle w:val="OPZTableText"/>
              <w:rPr>
                <w:sz w:val="20"/>
                <w:szCs w:val="20"/>
              </w:rPr>
            </w:pPr>
            <w:r>
              <w:rPr>
                <w:sz w:val="20"/>
                <w:szCs w:val="20"/>
              </w:rPr>
              <w:t>MEF</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3C468DD" w14:textId="42D5E502" w:rsidR="00167FF6" w:rsidRPr="005D4464" w:rsidRDefault="00167FF6" w:rsidP="00185460">
            <w:pPr>
              <w:pStyle w:val="OPZTableText"/>
              <w:rPr>
                <w:sz w:val="20"/>
                <w:szCs w:val="20"/>
              </w:rPr>
            </w:pPr>
            <w:r w:rsidRPr="00167FF6">
              <w:rPr>
                <w:sz w:val="20"/>
                <w:szCs w:val="20"/>
              </w:rPr>
              <w:t xml:space="preserve">Modul elektronických formulárov ÚPVS (MEF) </w:t>
            </w:r>
          </w:p>
        </w:tc>
      </w:tr>
      <w:tr w:rsidR="00185460" w:rsidRPr="005D4464" w14:paraId="4D9D8434" w14:textId="77777777" w:rsidTr="48BD72F8">
        <w:trPr>
          <w:trHeight w:val="300"/>
        </w:trPr>
        <w:tc>
          <w:tcPr>
            <w:tcW w:w="187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right w:w="15" w:type="dxa"/>
            </w:tcMar>
          </w:tcPr>
          <w:p w14:paraId="40A48ECD" w14:textId="7BD39331" w:rsidR="00185460" w:rsidRPr="005D4464" w:rsidRDefault="00185460" w:rsidP="00185460">
            <w:pPr>
              <w:pStyle w:val="OPZTableText"/>
              <w:rPr>
                <w:sz w:val="20"/>
                <w:szCs w:val="20"/>
              </w:rPr>
            </w:pPr>
            <w:r w:rsidRPr="005D4464">
              <w:rPr>
                <w:sz w:val="20"/>
                <w:szCs w:val="20"/>
              </w:rPr>
              <w:t>MEP</w:t>
            </w:r>
          </w:p>
        </w:tc>
        <w:tc>
          <w:tcPr>
            <w:tcW w:w="730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right w:w="15" w:type="dxa"/>
            </w:tcMar>
          </w:tcPr>
          <w:p w14:paraId="3D26F9B6" w14:textId="4ECD767B" w:rsidR="00185460" w:rsidRPr="005D4464" w:rsidRDefault="00185460" w:rsidP="00185460">
            <w:pPr>
              <w:pStyle w:val="OPZTableText"/>
              <w:rPr>
                <w:sz w:val="20"/>
                <w:szCs w:val="20"/>
              </w:rPr>
            </w:pPr>
            <w:r w:rsidRPr="005D4464">
              <w:rPr>
                <w:sz w:val="20"/>
                <w:szCs w:val="20"/>
              </w:rPr>
              <w:t xml:space="preserve">Modul elektronických platieb </w:t>
            </w:r>
            <w:r w:rsidR="00BA6D0A">
              <w:rPr>
                <w:sz w:val="20"/>
                <w:szCs w:val="20"/>
              </w:rPr>
              <w:t>–</w:t>
            </w:r>
            <w:r w:rsidRPr="005D4464">
              <w:rPr>
                <w:sz w:val="20"/>
                <w:szCs w:val="20"/>
              </w:rPr>
              <w:t xml:space="preserve"> modul ÚPVS označovaný aj ako komunikačná časť platobného modulu </w:t>
            </w:r>
          </w:p>
        </w:tc>
      </w:tr>
      <w:tr w:rsidR="00185460" w:rsidRPr="005D4464" w14:paraId="321EE688" w14:textId="77777777" w:rsidTr="48BD72F8">
        <w:trPr>
          <w:trHeight w:val="300"/>
        </w:trPr>
        <w:tc>
          <w:tcPr>
            <w:tcW w:w="187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right w:w="15" w:type="dxa"/>
            </w:tcMar>
          </w:tcPr>
          <w:p w14:paraId="7052C384" w14:textId="032809BF" w:rsidR="00185460" w:rsidRPr="005D4464" w:rsidRDefault="00185460" w:rsidP="00185460">
            <w:pPr>
              <w:pStyle w:val="OPZTableText"/>
              <w:rPr>
                <w:sz w:val="20"/>
                <w:szCs w:val="20"/>
              </w:rPr>
            </w:pPr>
            <w:r w:rsidRPr="005D4464">
              <w:rPr>
                <w:sz w:val="20"/>
                <w:szCs w:val="20"/>
              </w:rPr>
              <w:t>MDU</w:t>
            </w:r>
          </w:p>
        </w:tc>
        <w:tc>
          <w:tcPr>
            <w:tcW w:w="730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right w:w="15" w:type="dxa"/>
            </w:tcMar>
          </w:tcPr>
          <w:p w14:paraId="300BA2AA" w14:textId="068FFBEE" w:rsidR="00185460" w:rsidRPr="005D4464" w:rsidRDefault="00185460" w:rsidP="00185460">
            <w:pPr>
              <w:pStyle w:val="OPZTableText"/>
              <w:rPr>
                <w:sz w:val="20"/>
                <w:szCs w:val="20"/>
              </w:rPr>
            </w:pPr>
            <w:r w:rsidRPr="005D4464">
              <w:rPr>
                <w:sz w:val="20"/>
                <w:szCs w:val="20"/>
              </w:rPr>
              <w:t>Modul dlhodobého uchovávania </w:t>
            </w:r>
          </w:p>
        </w:tc>
      </w:tr>
      <w:tr w:rsidR="00185460" w:rsidRPr="005D4464" w14:paraId="24AE5A16"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41617F8" w14:textId="77777777" w:rsidR="00185460" w:rsidRPr="005D4464" w:rsidRDefault="00185460" w:rsidP="00185460">
            <w:pPr>
              <w:pStyle w:val="OPZTableText"/>
              <w:rPr>
                <w:sz w:val="20"/>
                <w:szCs w:val="20"/>
              </w:rPr>
            </w:pPr>
            <w:r w:rsidRPr="005D4464">
              <w:rPr>
                <w:sz w:val="20"/>
                <w:szCs w:val="20"/>
              </w:rPr>
              <w:t xml:space="preserve">MIRRI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3337BC44" w14:textId="77777777" w:rsidR="00185460" w:rsidRPr="005D4464" w:rsidRDefault="00185460" w:rsidP="00185460">
            <w:pPr>
              <w:pStyle w:val="OPZTableText"/>
              <w:rPr>
                <w:sz w:val="20"/>
                <w:szCs w:val="20"/>
              </w:rPr>
            </w:pPr>
            <w:r w:rsidRPr="005D4464">
              <w:rPr>
                <w:sz w:val="20"/>
                <w:szCs w:val="20"/>
              </w:rPr>
              <w:t xml:space="preserve">Ministerstvo investícií, regionálneho rozvoja a informatizácie Slovenskej republiky </w:t>
            </w:r>
          </w:p>
        </w:tc>
      </w:tr>
      <w:tr w:rsidR="00185460" w:rsidRPr="005D4464" w14:paraId="0F07831B"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488EF64F" w14:textId="77777777" w:rsidR="00185460" w:rsidRPr="005D4464" w:rsidRDefault="00185460" w:rsidP="00185460">
            <w:pPr>
              <w:pStyle w:val="OPZTableText"/>
              <w:rPr>
                <w:sz w:val="20"/>
                <w:szCs w:val="20"/>
              </w:rPr>
            </w:pPr>
            <w:r w:rsidRPr="005D4464">
              <w:rPr>
                <w:sz w:val="20"/>
                <w:szCs w:val="20"/>
              </w:rPr>
              <w:t xml:space="preserve">NASES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79CF3594" w14:textId="77777777" w:rsidR="00185460" w:rsidRPr="005D4464" w:rsidRDefault="00185460" w:rsidP="00185460">
            <w:pPr>
              <w:pStyle w:val="OPZTableText"/>
              <w:rPr>
                <w:sz w:val="20"/>
                <w:szCs w:val="20"/>
              </w:rPr>
            </w:pPr>
            <w:r w:rsidRPr="005D4464">
              <w:rPr>
                <w:sz w:val="20"/>
                <w:szCs w:val="20"/>
              </w:rPr>
              <w:t xml:space="preserve">Národná agentúra pre sieťové a elektronické služby </w:t>
            </w:r>
          </w:p>
        </w:tc>
      </w:tr>
      <w:tr w:rsidR="00185460" w:rsidRPr="005D4464" w14:paraId="4BA5383A"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2767E85" w14:textId="77777777" w:rsidR="00185460" w:rsidRPr="005D4464" w:rsidRDefault="00185460" w:rsidP="00185460">
            <w:pPr>
              <w:pStyle w:val="OPZTableText"/>
              <w:rPr>
                <w:sz w:val="20"/>
                <w:szCs w:val="20"/>
              </w:rPr>
            </w:pPr>
            <w:r w:rsidRPr="005D4464">
              <w:rPr>
                <w:sz w:val="20"/>
                <w:szCs w:val="20"/>
              </w:rPr>
              <w:t xml:space="preserve">NKIVS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9B6265A" w14:textId="77777777" w:rsidR="00185460" w:rsidRPr="005D4464" w:rsidRDefault="00185460" w:rsidP="00185460">
            <w:pPr>
              <w:pStyle w:val="OPZTableText"/>
              <w:rPr>
                <w:sz w:val="20"/>
                <w:szCs w:val="20"/>
              </w:rPr>
            </w:pPr>
            <w:r w:rsidRPr="005D4464">
              <w:rPr>
                <w:sz w:val="20"/>
                <w:szCs w:val="20"/>
              </w:rPr>
              <w:t xml:space="preserve">Národná koncepcia informatizácie verejnej správy </w:t>
            </w:r>
          </w:p>
        </w:tc>
      </w:tr>
      <w:tr w:rsidR="00185460" w:rsidRPr="005D4464" w14:paraId="715D40CD"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tcPr>
          <w:p w14:paraId="4C44A199" w14:textId="3568A2C0" w:rsidR="00185460" w:rsidRPr="005D4464" w:rsidRDefault="00185460" w:rsidP="00185460">
            <w:pPr>
              <w:pStyle w:val="OPZTableText"/>
              <w:rPr>
                <w:sz w:val="20"/>
                <w:szCs w:val="20"/>
              </w:rPr>
            </w:pPr>
            <w:r w:rsidRPr="005D4464">
              <w:rPr>
                <w:sz w:val="20"/>
                <w:szCs w:val="20"/>
              </w:rPr>
              <w:t>OST</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tcPr>
          <w:p w14:paraId="7FF83D86" w14:textId="0A386284" w:rsidR="00185460" w:rsidRPr="005D4464" w:rsidRDefault="00185460" w:rsidP="00185460">
            <w:pPr>
              <w:pStyle w:val="OPZTableText"/>
              <w:rPr>
                <w:sz w:val="20"/>
                <w:szCs w:val="20"/>
              </w:rPr>
            </w:pPr>
            <w:proofErr w:type="spellStart"/>
            <w:r w:rsidRPr="005D4464">
              <w:rPr>
                <w:sz w:val="20"/>
                <w:szCs w:val="20"/>
              </w:rPr>
              <w:t>Object</w:t>
            </w:r>
            <w:proofErr w:type="spellEnd"/>
            <w:r w:rsidRPr="005D4464">
              <w:rPr>
                <w:sz w:val="20"/>
                <w:szCs w:val="20"/>
              </w:rPr>
              <w:t xml:space="preserve"> </w:t>
            </w:r>
            <w:proofErr w:type="spellStart"/>
            <w:r w:rsidRPr="005D4464">
              <w:rPr>
                <w:sz w:val="20"/>
                <w:szCs w:val="20"/>
              </w:rPr>
              <w:t>Storage</w:t>
            </w:r>
            <w:proofErr w:type="spellEnd"/>
            <w:r w:rsidRPr="005D4464">
              <w:rPr>
                <w:sz w:val="20"/>
                <w:szCs w:val="20"/>
              </w:rPr>
              <w:t>, objektové úložisko ÚPVS.</w:t>
            </w:r>
          </w:p>
        </w:tc>
      </w:tr>
      <w:tr w:rsidR="00185460" w:rsidRPr="005D4464" w14:paraId="7116ED0C"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2FBCD7BF" w14:textId="76F88F25" w:rsidR="00185460" w:rsidRPr="005D4464" w:rsidRDefault="00185460" w:rsidP="00185460">
            <w:pPr>
              <w:pStyle w:val="OPZTableText"/>
              <w:rPr>
                <w:sz w:val="20"/>
                <w:szCs w:val="20"/>
              </w:rPr>
            </w:pPr>
            <w:r w:rsidRPr="005D4464">
              <w:rPr>
                <w:sz w:val="20"/>
                <w:szCs w:val="20"/>
              </w:rPr>
              <w:t xml:space="preserve">OVM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9E8CB2E" w14:textId="142F6C3D" w:rsidR="00185460" w:rsidRPr="005D4464" w:rsidRDefault="00185460" w:rsidP="00185460">
            <w:pPr>
              <w:pStyle w:val="OPZTableText"/>
              <w:rPr>
                <w:sz w:val="20"/>
                <w:szCs w:val="20"/>
              </w:rPr>
            </w:pPr>
            <w:r w:rsidRPr="005D4464">
              <w:rPr>
                <w:sz w:val="20"/>
                <w:szCs w:val="20"/>
              </w:rPr>
              <w:t>Orgán verejnej moci - štátny orgán, orgán územnej samosprávy, verejnoprávna inštitúcia, orgán záujmovej samosprávy a fyzická osoba alebo právnická osoba, ktorým zákon zveril výkon verejnej moci</w:t>
            </w:r>
          </w:p>
        </w:tc>
      </w:tr>
      <w:tr w:rsidR="00AB3A95" w:rsidRPr="005D4464" w14:paraId="1688AC63"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EF245D2" w14:textId="7020897D" w:rsidR="00AB3A95" w:rsidRPr="005D4464" w:rsidRDefault="00AB3A95" w:rsidP="00185460">
            <w:pPr>
              <w:pStyle w:val="OPZTableText"/>
              <w:rPr>
                <w:sz w:val="20"/>
                <w:szCs w:val="20"/>
              </w:rPr>
            </w:pPr>
            <w:r>
              <w:rPr>
                <w:sz w:val="20"/>
                <w:szCs w:val="20"/>
              </w:rPr>
              <w:t>PEP / IS PEP</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2F6D7E07" w14:textId="3B81CE3B" w:rsidR="00AB3A95" w:rsidRPr="005D4464" w:rsidRDefault="00AB3A95" w:rsidP="00185460">
            <w:pPr>
              <w:pStyle w:val="OPZTableText"/>
              <w:rPr>
                <w:sz w:val="20"/>
                <w:szCs w:val="20"/>
              </w:rPr>
            </w:pPr>
            <w:r w:rsidRPr="00AB3A95">
              <w:rPr>
                <w:sz w:val="20"/>
                <w:szCs w:val="20"/>
              </w:rPr>
              <w:t>IS pre platby a</w:t>
            </w:r>
            <w:r>
              <w:rPr>
                <w:sz w:val="20"/>
                <w:szCs w:val="20"/>
              </w:rPr>
              <w:t> </w:t>
            </w:r>
            <w:r w:rsidRPr="00AB3A95">
              <w:rPr>
                <w:sz w:val="20"/>
                <w:szCs w:val="20"/>
              </w:rPr>
              <w:t>evidenciu správnych a</w:t>
            </w:r>
            <w:r>
              <w:rPr>
                <w:sz w:val="20"/>
                <w:szCs w:val="20"/>
              </w:rPr>
              <w:t> </w:t>
            </w:r>
            <w:r w:rsidRPr="00AB3A95">
              <w:rPr>
                <w:sz w:val="20"/>
                <w:szCs w:val="20"/>
              </w:rPr>
              <w:t>súdnych poplatkov</w:t>
            </w:r>
            <w:r>
              <w:rPr>
                <w:sz w:val="20"/>
                <w:szCs w:val="20"/>
              </w:rPr>
              <w:t xml:space="preserve"> </w:t>
            </w:r>
          </w:p>
        </w:tc>
      </w:tr>
      <w:tr w:rsidR="00135635" w:rsidRPr="005D4464" w14:paraId="17B8ADE3"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5D1F7CEF" w14:textId="273EA006" w:rsidR="00135635" w:rsidRDefault="00135635" w:rsidP="00185460">
            <w:pPr>
              <w:pStyle w:val="OPZTableText"/>
              <w:rPr>
                <w:sz w:val="20"/>
                <w:szCs w:val="20"/>
              </w:rPr>
            </w:pPr>
            <w:r>
              <w:rPr>
                <w:sz w:val="20"/>
                <w:szCs w:val="20"/>
              </w:rPr>
              <w:t xml:space="preserve">PKI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C08C6A0" w14:textId="76637CF9" w:rsidR="00135635" w:rsidRPr="00AB3A95" w:rsidRDefault="00135635" w:rsidP="00185460">
            <w:pPr>
              <w:pStyle w:val="OPZTableText"/>
              <w:rPr>
                <w:sz w:val="20"/>
                <w:szCs w:val="20"/>
              </w:rPr>
            </w:pPr>
            <w:proofErr w:type="spellStart"/>
            <w:r w:rsidRPr="00135635">
              <w:rPr>
                <w:sz w:val="20"/>
                <w:szCs w:val="20"/>
              </w:rPr>
              <w:t>Public</w:t>
            </w:r>
            <w:proofErr w:type="spellEnd"/>
            <w:r w:rsidRPr="00135635">
              <w:rPr>
                <w:sz w:val="20"/>
                <w:szCs w:val="20"/>
              </w:rPr>
              <w:t xml:space="preserve"> </w:t>
            </w:r>
            <w:proofErr w:type="spellStart"/>
            <w:r w:rsidRPr="00135635">
              <w:rPr>
                <w:sz w:val="20"/>
                <w:szCs w:val="20"/>
              </w:rPr>
              <w:t>Key</w:t>
            </w:r>
            <w:proofErr w:type="spellEnd"/>
            <w:r w:rsidRPr="00135635">
              <w:rPr>
                <w:sz w:val="20"/>
                <w:szCs w:val="20"/>
              </w:rPr>
              <w:t xml:space="preserve"> </w:t>
            </w:r>
            <w:proofErr w:type="spellStart"/>
            <w:r w:rsidRPr="00135635">
              <w:rPr>
                <w:sz w:val="20"/>
                <w:szCs w:val="20"/>
              </w:rPr>
              <w:t>Infrastructure</w:t>
            </w:r>
            <w:proofErr w:type="spellEnd"/>
            <w:r w:rsidRPr="00135635">
              <w:rPr>
                <w:sz w:val="20"/>
                <w:szCs w:val="20"/>
              </w:rPr>
              <w:t xml:space="preserve"> – Infraštruktúra verejného kľúča</w:t>
            </w:r>
            <w:r>
              <w:rPr>
                <w:sz w:val="20"/>
                <w:szCs w:val="20"/>
              </w:rPr>
              <w:t xml:space="preserve"> </w:t>
            </w:r>
          </w:p>
        </w:tc>
      </w:tr>
      <w:tr w:rsidR="00185460" w:rsidRPr="005D4464" w14:paraId="0D300113"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96BD26E" w14:textId="77777777" w:rsidR="00185460" w:rsidRPr="005D4464" w:rsidRDefault="00185460" w:rsidP="00185460">
            <w:pPr>
              <w:pStyle w:val="OPZTableText"/>
              <w:rPr>
                <w:sz w:val="20"/>
                <w:szCs w:val="20"/>
              </w:rPr>
            </w:pPr>
            <w:r w:rsidRPr="005D4464">
              <w:rPr>
                <w:sz w:val="20"/>
                <w:szCs w:val="20"/>
              </w:rPr>
              <w:t>PO</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83E4148" w14:textId="77777777" w:rsidR="00185460" w:rsidRPr="005D4464" w:rsidRDefault="00185460" w:rsidP="00185460">
            <w:pPr>
              <w:pStyle w:val="OPZTableText"/>
              <w:rPr>
                <w:sz w:val="20"/>
                <w:szCs w:val="20"/>
              </w:rPr>
            </w:pPr>
            <w:r w:rsidRPr="005D4464">
              <w:rPr>
                <w:sz w:val="20"/>
                <w:szCs w:val="20"/>
              </w:rPr>
              <w:t xml:space="preserve">Právnická osoba </w:t>
            </w:r>
          </w:p>
        </w:tc>
      </w:tr>
      <w:tr w:rsidR="00185460" w:rsidRPr="005D4464" w14:paraId="7A1CA21F"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632AB272" w14:textId="664C89FF" w:rsidR="00185460" w:rsidRPr="005D4464" w:rsidRDefault="00185460" w:rsidP="00185460">
            <w:pPr>
              <w:pStyle w:val="OPZTableText"/>
              <w:rPr>
                <w:sz w:val="20"/>
                <w:szCs w:val="20"/>
              </w:rPr>
            </w:pPr>
            <w:r w:rsidRPr="005D4464">
              <w:rPr>
                <w:sz w:val="20"/>
                <w:szCs w:val="20"/>
              </w:rPr>
              <w:t>PROD</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04EE1F0D" w14:textId="48CC7342" w:rsidR="00185460" w:rsidRPr="005D4464" w:rsidRDefault="00185460" w:rsidP="00185460">
            <w:pPr>
              <w:pStyle w:val="OPZTableText"/>
              <w:rPr>
                <w:sz w:val="20"/>
                <w:szCs w:val="20"/>
              </w:rPr>
            </w:pPr>
            <w:r w:rsidRPr="005D4464">
              <w:rPr>
                <w:sz w:val="20"/>
                <w:szCs w:val="20"/>
              </w:rPr>
              <w:t>Produkčné prostredie</w:t>
            </w:r>
          </w:p>
        </w:tc>
      </w:tr>
      <w:tr w:rsidR="00470316" w:rsidRPr="005D4464" w14:paraId="7C402383"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00702913" w14:textId="2675CA97" w:rsidR="00470316" w:rsidRPr="005D4464" w:rsidRDefault="00470316" w:rsidP="00185460">
            <w:pPr>
              <w:pStyle w:val="OPZTableText"/>
              <w:rPr>
                <w:sz w:val="20"/>
                <w:szCs w:val="20"/>
              </w:rPr>
            </w:pPr>
            <w:r>
              <w:rPr>
                <w:sz w:val="20"/>
                <w:szCs w:val="20"/>
              </w:rPr>
              <w:t>QES</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9E473EC" w14:textId="5DCFB99F" w:rsidR="00470316" w:rsidRPr="005D4464" w:rsidRDefault="00470316" w:rsidP="00185460">
            <w:pPr>
              <w:pStyle w:val="OPZTableText"/>
              <w:rPr>
                <w:sz w:val="20"/>
                <w:szCs w:val="20"/>
              </w:rPr>
            </w:pPr>
            <w:proofErr w:type="spellStart"/>
            <w:r w:rsidRPr="00470316">
              <w:rPr>
                <w:sz w:val="20"/>
                <w:szCs w:val="20"/>
              </w:rPr>
              <w:t>Qualified</w:t>
            </w:r>
            <w:proofErr w:type="spellEnd"/>
            <w:r w:rsidRPr="00470316">
              <w:rPr>
                <w:sz w:val="20"/>
                <w:szCs w:val="20"/>
              </w:rPr>
              <w:t xml:space="preserve"> </w:t>
            </w:r>
            <w:proofErr w:type="spellStart"/>
            <w:r w:rsidRPr="00470316">
              <w:rPr>
                <w:sz w:val="20"/>
                <w:szCs w:val="20"/>
              </w:rPr>
              <w:t>Electronic</w:t>
            </w:r>
            <w:proofErr w:type="spellEnd"/>
            <w:r w:rsidRPr="00470316">
              <w:rPr>
                <w:sz w:val="20"/>
                <w:szCs w:val="20"/>
              </w:rPr>
              <w:t xml:space="preserve"> </w:t>
            </w:r>
            <w:proofErr w:type="spellStart"/>
            <w:r w:rsidRPr="00470316">
              <w:rPr>
                <w:sz w:val="20"/>
                <w:szCs w:val="20"/>
              </w:rPr>
              <w:t>Signature</w:t>
            </w:r>
            <w:proofErr w:type="spellEnd"/>
            <w:r w:rsidRPr="00470316">
              <w:rPr>
                <w:sz w:val="20"/>
                <w:szCs w:val="20"/>
              </w:rPr>
              <w:t xml:space="preserve"> – Kvalifikovaný elektronický podpis</w:t>
            </w:r>
            <w:r>
              <w:rPr>
                <w:sz w:val="20"/>
                <w:szCs w:val="20"/>
              </w:rPr>
              <w:t xml:space="preserve"> </w:t>
            </w:r>
          </w:p>
        </w:tc>
      </w:tr>
      <w:tr w:rsidR="00CE793A" w:rsidRPr="005D4464" w14:paraId="120638D5"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9626E14" w14:textId="7B5AB26B" w:rsidR="00CE793A" w:rsidRDefault="00CE793A" w:rsidP="00185460">
            <w:pPr>
              <w:pStyle w:val="OPZTableText"/>
              <w:rPr>
                <w:sz w:val="20"/>
                <w:szCs w:val="20"/>
              </w:rPr>
            </w:pPr>
            <w:r>
              <w:rPr>
                <w:sz w:val="20"/>
                <w:szCs w:val="20"/>
              </w:rPr>
              <w:t>SAM</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1025B7BB" w14:textId="5969CD90" w:rsidR="00CE793A" w:rsidRPr="00470316" w:rsidRDefault="00CE793A" w:rsidP="00185460">
            <w:pPr>
              <w:pStyle w:val="OPZTableText"/>
              <w:rPr>
                <w:sz w:val="20"/>
                <w:szCs w:val="20"/>
              </w:rPr>
            </w:pPr>
            <w:proofErr w:type="spellStart"/>
            <w:r w:rsidRPr="00CE793A">
              <w:rPr>
                <w:sz w:val="20"/>
                <w:szCs w:val="20"/>
              </w:rPr>
              <w:t>Signature</w:t>
            </w:r>
            <w:proofErr w:type="spellEnd"/>
            <w:r w:rsidRPr="00CE793A">
              <w:rPr>
                <w:sz w:val="20"/>
                <w:szCs w:val="20"/>
              </w:rPr>
              <w:t xml:space="preserve"> </w:t>
            </w:r>
            <w:proofErr w:type="spellStart"/>
            <w:r w:rsidRPr="00CE793A">
              <w:rPr>
                <w:sz w:val="20"/>
                <w:szCs w:val="20"/>
              </w:rPr>
              <w:t>Activation</w:t>
            </w:r>
            <w:proofErr w:type="spellEnd"/>
            <w:r w:rsidRPr="00CE793A">
              <w:rPr>
                <w:sz w:val="20"/>
                <w:szCs w:val="20"/>
              </w:rPr>
              <w:t xml:space="preserve"> Module podľa CEN EN 419</w:t>
            </w:r>
            <w:r>
              <w:rPr>
                <w:sz w:val="20"/>
                <w:szCs w:val="20"/>
              </w:rPr>
              <w:t> </w:t>
            </w:r>
            <w:r w:rsidRPr="00CE793A">
              <w:rPr>
                <w:sz w:val="20"/>
                <w:szCs w:val="20"/>
              </w:rPr>
              <w:t>241</w:t>
            </w:r>
            <w:r>
              <w:rPr>
                <w:sz w:val="20"/>
                <w:szCs w:val="20"/>
              </w:rPr>
              <w:t xml:space="preserve"> </w:t>
            </w:r>
          </w:p>
        </w:tc>
      </w:tr>
      <w:tr w:rsidR="00B04A7D" w:rsidRPr="005D4464" w14:paraId="60C59904"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02A6E45" w14:textId="64615EBD" w:rsidR="00B04A7D" w:rsidRDefault="00B04A7D" w:rsidP="00185460">
            <w:pPr>
              <w:pStyle w:val="OPZTableText"/>
              <w:rPr>
                <w:sz w:val="20"/>
                <w:szCs w:val="20"/>
              </w:rPr>
            </w:pPr>
            <w:proofErr w:type="spellStart"/>
            <w:r w:rsidRPr="00B04A7D">
              <w:rPr>
                <w:sz w:val="20"/>
                <w:szCs w:val="20"/>
              </w:rPr>
              <w:t>SkTalk</w:t>
            </w:r>
            <w:proofErr w:type="spellEnd"/>
            <w:r w:rsidRPr="00B04A7D">
              <w:rPr>
                <w:sz w:val="20"/>
                <w:szCs w:val="20"/>
              </w:rPr>
              <w:t>/Sk-</w:t>
            </w:r>
            <w:proofErr w:type="spellStart"/>
            <w:r w:rsidRPr="00B04A7D">
              <w:rPr>
                <w:sz w:val="20"/>
                <w:szCs w:val="20"/>
              </w:rPr>
              <w:t>Talk</w:t>
            </w:r>
            <w:proofErr w:type="spellEnd"/>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26D5525E" w14:textId="4960DF86" w:rsidR="00B04A7D" w:rsidRPr="00CE793A" w:rsidRDefault="00B04A7D" w:rsidP="00185460">
            <w:pPr>
              <w:pStyle w:val="OPZTableText"/>
              <w:rPr>
                <w:sz w:val="20"/>
                <w:szCs w:val="20"/>
              </w:rPr>
            </w:pPr>
            <w:r w:rsidRPr="00B04A7D">
              <w:rPr>
                <w:sz w:val="20"/>
                <w:szCs w:val="20"/>
              </w:rPr>
              <w:t>Štandard pre komunikáciu prostredníctvom ÚPVS podľa § 11 písm. g) Vyhlášky č. 78/2020 Z. z.</w:t>
            </w:r>
            <w:r>
              <w:rPr>
                <w:sz w:val="20"/>
                <w:szCs w:val="20"/>
              </w:rPr>
              <w:t xml:space="preserve"> </w:t>
            </w:r>
          </w:p>
        </w:tc>
      </w:tr>
      <w:tr w:rsidR="00185460" w:rsidRPr="005D4464" w14:paraId="69D8B0A1"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7900B261" w14:textId="77777777" w:rsidR="00185460" w:rsidRPr="005D4464" w:rsidRDefault="00185460" w:rsidP="00185460">
            <w:pPr>
              <w:pStyle w:val="OPZTableText"/>
              <w:rPr>
                <w:sz w:val="20"/>
                <w:szCs w:val="20"/>
              </w:rPr>
            </w:pPr>
            <w:r w:rsidRPr="005D4464">
              <w:rPr>
                <w:sz w:val="20"/>
                <w:szCs w:val="20"/>
              </w:rPr>
              <w:t xml:space="preserve">SLA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456976FB" w14:textId="08A65BB5" w:rsidR="00185460" w:rsidRPr="005D4464" w:rsidRDefault="00185460" w:rsidP="00185460">
            <w:pPr>
              <w:pStyle w:val="OPZTableText"/>
              <w:rPr>
                <w:sz w:val="20"/>
                <w:szCs w:val="20"/>
              </w:rPr>
            </w:pPr>
            <w:r w:rsidRPr="005D4464">
              <w:rPr>
                <w:sz w:val="20"/>
                <w:szCs w:val="20"/>
              </w:rPr>
              <w:t xml:space="preserve">Service </w:t>
            </w:r>
            <w:proofErr w:type="spellStart"/>
            <w:r w:rsidRPr="005D4464">
              <w:rPr>
                <w:sz w:val="20"/>
                <w:szCs w:val="20"/>
              </w:rPr>
              <w:t>Layer</w:t>
            </w:r>
            <w:proofErr w:type="spellEnd"/>
            <w:r w:rsidRPr="005D4464">
              <w:rPr>
                <w:sz w:val="20"/>
                <w:szCs w:val="20"/>
              </w:rPr>
              <w:t xml:space="preserve">/Level </w:t>
            </w:r>
            <w:proofErr w:type="spellStart"/>
            <w:r w:rsidRPr="005D4464">
              <w:rPr>
                <w:sz w:val="20"/>
                <w:szCs w:val="20"/>
              </w:rPr>
              <w:t>Agreement</w:t>
            </w:r>
            <w:proofErr w:type="spellEnd"/>
            <w:r w:rsidRPr="005D4464">
              <w:rPr>
                <w:sz w:val="20"/>
                <w:szCs w:val="20"/>
              </w:rPr>
              <w:t xml:space="preserve"> </w:t>
            </w:r>
            <w:r w:rsidR="00F86712">
              <w:rPr>
                <w:sz w:val="20"/>
                <w:szCs w:val="20"/>
              </w:rPr>
              <w:t>–</w:t>
            </w:r>
            <w:r w:rsidRPr="005D4464">
              <w:rPr>
                <w:sz w:val="20"/>
                <w:szCs w:val="20"/>
              </w:rPr>
              <w:t xml:space="preserve"> Dohoda o úrovni/ parametroch / kvalite poskytovania služby </w:t>
            </w:r>
          </w:p>
        </w:tc>
      </w:tr>
      <w:tr w:rsidR="00B113FC" w:rsidRPr="005D4464" w14:paraId="7FAC3DDD"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2A04A533" w14:textId="4B24438D" w:rsidR="00B113FC" w:rsidRPr="005D4464" w:rsidRDefault="00B113FC" w:rsidP="00185460">
            <w:pPr>
              <w:pStyle w:val="OPZTableText"/>
              <w:rPr>
                <w:sz w:val="20"/>
                <w:szCs w:val="20"/>
              </w:rPr>
            </w:pPr>
            <w:r>
              <w:rPr>
                <w:sz w:val="20"/>
                <w:szCs w:val="20"/>
              </w:rPr>
              <w:t>SNCA</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0F425B10" w14:textId="306AC47F" w:rsidR="00B113FC" w:rsidRPr="005D4464" w:rsidRDefault="003E2286" w:rsidP="00185460">
            <w:pPr>
              <w:pStyle w:val="OPZTableText"/>
              <w:rPr>
                <w:sz w:val="20"/>
                <w:szCs w:val="20"/>
              </w:rPr>
            </w:pPr>
            <w:r w:rsidRPr="003E2286">
              <w:rPr>
                <w:sz w:val="20"/>
                <w:szCs w:val="20"/>
              </w:rPr>
              <w:t>Slovenská národná certifikačná autorita</w:t>
            </w:r>
            <w:r>
              <w:rPr>
                <w:sz w:val="20"/>
                <w:szCs w:val="20"/>
              </w:rPr>
              <w:t xml:space="preserve"> </w:t>
            </w:r>
          </w:p>
        </w:tc>
      </w:tr>
      <w:tr w:rsidR="00B113FC" w:rsidRPr="005D4464" w14:paraId="701F9DFE" w14:textId="77777777" w:rsidTr="48BD72F8">
        <w:trPr>
          <w:trHeight w:val="300"/>
        </w:trPr>
        <w:tc>
          <w:tcPr>
            <w:tcW w:w="1875"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bottom"/>
          </w:tcPr>
          <w:p w14:paraId="33F80A8F" w14:textId="210BC7E2" w:rsidR="00B113FC" w:rsidRPr="005D4464" w:rsidRDefault="00B113FC" w:rsidP="00185460">
            <w:pPr>
              <w:pStyle w:val="OPZTableText"/>
              <w:rPr>
                <w:sz w:val="20"/>
                <w:szCs w:val="20"/>
              </w:rPr>
            </w:pPr>
            <w:r>
              <w:rPr>
                <w:sz w:val="20"/>
                <w:szCs w:val="20"/>
              </w:rPr>
              <w:t>TSL</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4DB9E8AA" w14:textId="127DBB09" w:rsidR="00B113FC" w:rsidRPr="005D4464" w:rsidRDefault="00B113FC" w:rsidP="00185460">
            <w:pPr>
              <w:pStyle w:val="OPZTableText"/>
              <w:rPr>
                <w:sz w:val="20"/>
                <w:szCs w:val="20"/>
              </w:rPr>
            </w:pPr>
            <w:r w:rsidRPr="00B113FC">
              <w:rPr>
                <w:sz w:val="20"/>
                <w:szCs w:val="20"/>
              </w:rPr>
              <w:t>Dôveryhodný zoznam v</w:t>
            </w:r>
            <w:r>
              <w:rPr>
                <w:sz w:val="20"/>
                <w:szCs w:val="20"/>
              </w:rPr>
              <w:t> </w:t>
            </w:r>
            <w:r w:rsidRPr="00B113FC">
              <w:rPr>
                <w:sz w:val="20"/>
                <w:szCs w:val="20"/>
              </w:rPr>
              <w:t xml:space="preserve">zmysle Nariadenia </w:t>
            </w:r>
            <w:proofErr w:type="spellStart"/>
            <w:r w:rsidRPr="00B113FC">
              <w:rPr>
                <w:sz w:val="20"/>
                <w:szCs w:val="20"/>
              </w:rPr>
              <w:t>eIDAS</w:t>
            </w:r>
            <w:proofErr w:type="spellEnd"/>
            <w:r>
              <w:rPr>
                <w:sz w:val="20"/>
                <w:szCs w:val="20"/>
              </w:rPr>
              <w:t xml:space="preserve"> </w:t>
            </w:r>
          </w:p>
        </w:tc>
      </w:tr>
      <w:tr w:rsidR="00185460" w:rsidRPr="005D4464" w14:paraId="23CE76D0" w14:textId="77777777" w:rsidTr="48BD72F8">
        <w:trPr>
          <w:trHeight w:val="300"/>
        </w:trPr>
        <w:tc>
          <w:tcPr>
            <w:tcW w:w="1875" w:type="dxa"/>
            <w:tcBorders>
              <w:top w:val="nil"/>
              <w:left w:val="single" w:sz="8" w:space="0" w:color="auto"/>
              <w:bottom w:val="single" w:sz="4" w:space="0" w:color="auto"/>
              <w:right w:val="single" w:sz="4" w:space="0" w:color="auto"/>
            </w:tcBorders>
            <w:tcMar>
              <w:top w:w="15" w:type="dxa"/>
              <w:left w:w="15" w:type="dxa"/>
              <w:right w:w="15" w:type="dxa"/>
            </w:tcMar>
            <w:vAlign w:val="bottom"/>
          </w:tcPr>
          <w:p w14:paraId="7F549214" w14:textId="6F1D707B" w:rsidR="00185460" w:rsidRPr="005D4464" w:rsidRDefault="00185460" w:rsidP="00185460">
            <w:pPr>
              <w:pStyle w:val="OPZTableText"/>
              <w:rPr>
                <w:sz w:val="20"/>
                <w:szCs w:val="20"/>
              </w:rPr>
            </w:pPr>
            <w:r w:rsidRPr="005D4464">
              <w:rPr>
                <w:sz w:val="20"/>
                <w:szCs w:val="20"/>
              </w:rPr>
              <w:t xml:space="preserve">UAT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A74F456" w14:textId="1133514D" w:rsidR="00185460" w:rsidRPr="005D4464" w:rsidRDefault="00185460" w:rsidP="00185460">
            <w:pPr>
              <w:pStyle w:val="OPZTableText"/>
              <w:rPr>
                <w:sz w:val="20"/>
                <w:szCs w:val="20"/>
              </w:rPr>
            </w:pPr>
            <w:r w:rsidRPr="005D4464">
              <w:rPr>
                <w:sz w:val="20"/>
                <w:szCs w:val="20"/>
              </w:rPr>
              <w:t>Testovacie prostredie</w:t>
            </w:r>
          </w:p>
        </w:tc>
      </w:tr>
      <w:tr w:rsidR="00185460" w:rsidRPr="005D4464" w14:paraId="7F76F405" w14:textId="77777777" w:rsidTr="48BD72F8">
        <w:trPr>
          <w:trHeight w:val="300"/>
        </w:trPr>
        <w:tc>
          <w:tcPr>
            <w:tcW w:w="1875" w:type="dxa"/>
            <w:tcBorders>
              <w:top w:val="nil"/>
              <w:left w:val="single" w:sz="8" w:space="0" w:color="auto"/>
              <w:bottom w:val="single" w:sz="4" w:space="0" w:color="auto"/>
              <w:right w:val="single" w:sz="4" w:space="0" w:color="auto"/>
            </w:tcBorders>
            <w:tcMar>
              <w:top w:w="15" w:type="dxa"/>
              <w:left w:w="15" w:type="dxa"/>
              <w:right w:w="15" w:type="dxa"/>
            </w:tcMar>
            <w:vAlign w:val="bottom"/>
          </w:tcPr>
          <w:p w14:paraId="27436842" w14:textId="32A1DFC9" w:rsidR="00185460" w:rsidRPr="005D4464" w:rsidRDefault="00185460" w:rsidP="00185460">
            <w:pPr>
              <w:pStyle w:val="OPZTableText"/>
              <w:rPr>
                <w:sz w:val="20"/>
                <w:szCs w:val="20"/>
              </w:rPr>
            </w:pPr>
            <w:r w:rsidRPr="005D4464">
              <w:rPr>
                <w:sz w:val="20"/>
                <w:szCs w:val="20"/>
              </w:rPr>
              <w:t xml:space="preserve">ÚPVS </w:t>
            </w:r>
          </w:p>
        </w:tc>
        <w:tc>
          <w:tcPr>
            <w:tcW w:w="730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bottom"/>
          </w:tcPr>
          <w:p w14:paraId="6003739B" w14:textId="071302E8" w:rsidR="00185460" w:rsidRPr="005D4464" w:rsidRDefault="00185460" w:rsidP="00185460">
            <w:pPr>
              <w:pStyle w:val="OPZTableText"/>
              <w:rPr>
                <w:sz w:val="20"/>
                <w:szCs w:val="20"/>
              </w:rPr>
            </w:pPr>
            <w:r w:rsidRPr="005D4464">
              <w:rPr>
                <w:sz w:val="20"/>
                <w:szCs w:val="20"/>
              </w:rPr>
              <w:t xml:space="preserve">Ústredný portál verejnej správy, ústredný portál </w:t>
            </w:r>
          </w:p>
        </w:tc>
      </w:tr>
    </w:tbl>
    <w:p w14:paraId="6A76DD25" w14:textId="7AC20044" w:rsidR="00475637" w:rsidRPr="00787D88" w:rsidRDefault="00475637" w:rsidP="00E51E00">
      <w:pPr>
        <w:spacing w:before="240" w:after="80"/>
      </w:pPr>
      <w:r w:rsidRPr="00234191">
        <w:t xml:space="preserve">Tabuľka </w:t>
      </w:r>
      <w:r w:rsidR="00234191">
        <w:t>č. </w:t>
      </w:r>
      <w:r w:rsidRPr="00234191">
        <w:t>2 – Zoznam pojmov</w:t>
      </w:r>
    </w:p>
    <w:tbl>
      <w:tblPr>
        <w:tblpPr w:leftFromText="141" w:rightFromText="141" w:vertAnchor="text" w:tblpX="-5"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087"/>
      </w:tblGrid>
      <w:tr w:rsidR="0060436F" w:rsidRPr="00D42F4A" w14:paraId="6A281301" w14:textId="77777777" w:rsidTr="00E51E00">
        <w:trPr>
          <w:tblHeader/>
        </w:trPr>
        <w:tc>
          <w:tcPr>
            <w:tcW w:w="212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332C729" w14:textId="77777777" w:rsidR="0060436F" w:rsidRPr="00D42F4A" w:rsidRDefault="0060436F" w:rsidP="00D42F4A">
            <w:pPr>
              <w:pStyle w:val="OPZTableHeader"/>
            </w:pPr>
            <w:r w:rsidRPr="00D42F4A">
              <w:t>POJEM</w:t>
            </w:r>
          </w:p>
        </w:tc>
        <w:tc>
          <w:tcPr>
            <w:tcW w:w="708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E0F4071" w14:textId="77777777" w:rsidR="0060436F" w:rsidRPr="00D42F4A" w:rsidRDefault="0060436F" w:rsidP="00D42F4A">
            <w:pPr>
              <w:pStyle w:val="OPZTableHeader"/>
            </w:pPr>
            <w:r w:rsidRPr="00D42F4A">
              <w:t>POPIS</w:t>
            </w:r>
          </w:p>
        </w:tc>
      </w:tr>
      <w:tr w:rsidR="005F2893" w:rsidRPr="00D42F4A" w14:paraId="3CEC0469" w14:textId="77777777" w:rsidTr="00E51E00">
        <w:tc>
          <w:tcPr>
            <w:tcW w:w="2122" w:type="dxa"/>
            <w:tcBorders>
              <w:top w:val="single" w:sz="4" w:space="0" w:color="auto"/>
              <w:left w:val="single" w:sz="4" w:space="0" w:color="auto"/>
              <w:bottom w:val="single" w:sz="4" w:space="0" w:color="auto"/>
              <w:right w:val="single" w:sz="4" w:space="0" w:color="auto"/>
            </w:tcBorders>
            <w:vAlign w:val="bottom"/>
          </w:tcPr>
          <w:p w14:paraId="4424DD23" w14:textId="48B5FCAF" w:rsidR="005F2893" w:rsidRPr="00BA0B56" w:rsidRDefault="005F2893" w:rsidP="00D42F4A">
            <w:pPr>
              <w:pStyle w:val="OPZTableText"/>
              <w:rPr>
                <w:sz w:val="20"/>
                <w:szCs w:val="20"/>
              </w:rPr>
            </w:pPr>
            <w:r w:rsidRPr="00BA0B56">
              <w:rPr>
                <w:rFonts w:eastAsia="Aptos Narrow"/>
                <w:sz w:val="20"/>
                <w:szCs w:val="20"/>
              </w:rPr>
              <w:t>Admin GUI</w:t>
            </w:r>
          </w:p>
        </w:tc>
        <w:tc>
          <w:tcPr>
            <w:tcW w:w="7087" w:type="dxa"/>
            <w:tcBorders>
              <w:top w:val="single" w:sz="4" w:space="0" w:color="auto"/>
              <w:left w:val="single" w:sz="4" w:space="0" w:color="auto"/>
              <w:bottom w:val="single" w:sz="4" w:space="0" w:color="auto"/>
              <w:right w:val="single" w:sz="4" w:space="0" w:color="auto"/>
            </w:tcBorders>
            <w:vAlign w:val="bottom"/>
          </w:tcPr>
          <w:p w14:paraId="55446BE5" w14:textId="08ABA629" w:rsidR="005F2893" w:rsidRPr="00BA0B56" w:rsidRDefault="005F2893" w:rsidP="00D42F4A">
            <w:pPr>
              <w:pStyle w:val="OPZTableText"/>
              <w:rPr>
                <w:sz w:val="20"/>
                <w:szCs w:val="20"/>
              </w:rPr>
            </w:pPr>
            <w:r w:rsidRPr="00BA0B56">
              <w:rPr>
                <w:sz w:val="20"/>
                <w:szCs w:val="20"/>
              </w:rPr>
              <w:t xml:space="preserve">Rozhranie pre správu a konfiguráciu aplikácií, spravidla pre rolu Administrátor (Admin). </w:t>
            </w:r>
          </w:p>
        </w:tc>
      </w:tr>
      <w:tr w:rsidR="005F2893" w:rsidRPr="00D42F4A" w14:paraId="7111D36D" w14:textId="77777777" w:rsidTr="00E51E00">
        <w:tc>
          <w:tcPr>
            <w:tcW w:w="2122" w:type="dxa"/>
            <w:tcBorders>
              <w:top w:val="single" w:sz="4" w:space="0" w:color="auto"/>
              <w:left w:val="single" w:sz="4" w:space="0" w:color="auto"/>
              <w:bottom w:val="single" w:sz="4" w:space="0" w:color="auto"/>
              <w:right w:val="single" w:sz="4" w:space="0" w:color="auto"/>
            </w:tcBorders>
            <w:vAlign w:val="bottom"/>
            <w:hideMark/>
          </w:tcPr>
          <w:p w14:paraId="1E6DF30B" w14:textId="201D3343" w:rsidR="005F2893" w:rsidRPr="00BA0B56" w:rsidRDefault="005F2893" w:rsidP="00D42F4A">
            <w:pPr>
              <w:pStyle w:val="OPZTableText"/>
              <w:rPr>
                <w:sz w:val="20"/>
                <w:szCs w:val="20"/>
              </w:rPr>
            </w:pPr>
            <w:r w:rsidRPr="00BA0B56">
              <w:rPr>
                <w:rFonts w:eastAsia="Aptos Narrow"/>
                <w:sz w:val="20"/>
                <w:szCs w:val="20"/>
              </w:rPr>
              <w:t xml:space="preserve">API </w:t>
            </w:r>
            <w:proofErr w:type="spellStart"/>
            <w:r w:rsidRPr="00BA0B56">
              <w:rPr>
                <w:rFonts w:eastAsia="Aptos Narrow"/>
                <w:sz w:val="20"/>
                <w:szCs w:val="20"/>
              </w:rPr>
              <w:t>First</w:t>
            </w:r>
            <w:proofErr w:type="spellEnd"/>
          </w:p>
        </w:tc>
        <w:tc>
          <w:tcPr>
            <w:tcW w:w="7087" w:type="dxa"/>
            <w:tcBorders>
              <w:top w:val="single" w:sz="4" w:space="0" w:color="auto"/>
              <w:left w:val="single" w:sz="4" w:space="0" w:color="auto"/>
              <w:bottom w:val="single" w:sz="4" w:space="0" w:color="auto"/>
              <w:right w:val="single" w:sz="4" w:space="0" w:color="auto"/>
            </w:tcBorders>
            <w:vAlign w:val="bottom"/>
            <w:hideMark/>
          </w:tcPr>
          <w:p w14:paraId="7B11B320" w14:textId="2860D173" w:rsidR="005F2893" w:rsidRPr="00BA0B56" w:rsidRDefault="005F2893" w:rsidP="00D42F4A">
            <w:pPr>
              <w:pStyle w:val="OPZTableText"/>
              <w:rPr>
                <w:sz w:val="20"/>
                <w:szCs w:val="20"/>
              </w:rPr>
            </w:pPr>
            <w:r w:rsidRPr="00BA0B56">
              <w:rPr>
                <w:sz w:val="20"/>
                <w:szCs w:val="20"/>
              </w:rPr>
              <w:t xml:space="preserve">Prístup, ktorý určuje spôsob návrhu a vývoja aplikačného softvéru, tak aby API vznikalo ešte pred samotnou implementáciou. </w:t>
            </w:r>
          </w:p>
        </w:tc>
      </w:tr>
      <w:tr w:rsidR="001F1E5C" w:rsidRPr="00D42F4A" w14:paraId="6EBF7963" w14:textId="77777777" w:rsidTr="004E3628">
        <w:tc>
          <w:tcPr>
            <w:tcW w:w="2122" w:type="dxa"/>
            <w:tcBorders>
              <w:top w:val="single" w:sz="4" w:space="0" w:color="auto"/>
              <w:left w:val="single" w:sz="4" w:space="0" w:color="auto"/>
              <w:bottom w:val="single" w:sz="4" w:space="0" w:color="auto"/>
              <w:right w:val="single" w:sz="4" w:space="0" w:color="auto"/>
            </w:tcBorders>
          </w:tcPr>
          <w:p w14:paraId="1CFC40D9" w14:textId="677107ED" w:rsidR="001F1E5C" w:rsidRPr="00BA0B56" w:rsidRDefault="001F1E5C" w:rsidP="00D42F4A">
            <w:pPr>
              <w:pStyle w:val="OPZTableText"/>
              <w:rPr>
                <w:rFonts w:eastAsia="Aptos Narrow"/>
                <w:sz w:val="20"/>
                <w:szCs w:val="20"/>
              </w:rPr>
            </w:pPr>
            <w:proofErr w:type="spellStart"/>
            <w:r w:rsidRPr="00BA0B56">
              <w:rPr>
                <w:sz w:val="20"/>
                <w:szCs w:val="20"/>
              </w:rPr>
              <w:t>ArchiMate</w:t>
            </w:r>
            <w:proofErr w:type="spellEnd"/>
          </w:p>
        </w:tc>
        <w:tc>
          <w:tcPr>
            <w:tcW w:w="7087" w:type="dxa"/>
            <w:tcBorders>
              <w:top w:val="single" w:sz="4" w:space="0" w:color="auto"/>
              <w:left w:val="single" w:sz="4" w:space="0" w:color="auto"/>
              <w:bottom w:val="single" w:sz="4" w:space="0" w:color="auto"/>
              <w:right w:val="single" w:sz="4" w:space="0" w:color="auto"/>
            </w:tcBorders>
          </w:tcPr>
          <w:p w14:paraId="14507C5B" w14:textId="7649FC0A" w:rsidR="001F1E5C" w:rsidRPr="00BA0B56" w:rsidRDefault="001F1E5C" w:rsidP="00D42F4A">
            <w:pPr>
              <w:pStyle w:val="OPZTableText"/>
              <w:rPr>
                <w:sz w:val="20"/>
                <w:szCs w:val="20"/>
              </w:rPr>
            </w:pPr>
            <w:r w:rsidRPr="00BA0B56">
              <w:rPr>
                <w:sz w:val="20"/>
                <w:szCs w:val="20"/>
              </w:rPr>
              <w:t xml:space="preserve">Štandardizovaný modelovací jazyk, ktorý sa používa primárne na zobrazenie, popis a následnú analýzu podnikovej architektúry. </w:t>
            </w:r>
          </w:p>
        </w:tc>
      </w:tr>
      <w:tr w:rsidR="001F1E5C" w:rsidRPr="00D42F4A" w14:paraId="51E5DB64" w14:textId="77777777" w:rsidTr="004E3628">
        <w:tc>
          <w:tcPr>
            <w:tcW w:w="2122" w:type="dxa"/>
            <w:tcBorders>
              <w:top w:val="single" w:sz="4" w:space="0" w:color="auto"/>
              <w:left w:val="single" w:sz="4" w:space="0" w:color="auto"/>
              <w:bottom w:val="single" w:sz="4" w:space="0" w:color="auto"/>
              <w:right w:val="single" w:sz="4" w:space="0" w:color="auto"/>
            </w:tcBorders>
          </w:tcPr>
          <w:p w14:paraId="0B21D08A" w14:textId="15BA16D3" w:rsidR="001F1E5C" w:rsidRPr="00BA0B56" w:rsidRDefault="001F1E5C" w:rsidP="00D42F4A">
            <w:pPr>
              <w:pStyle w:val="OPZTableText"/>
              <w:rPr>
                <w:sz w:val="20"/>
                <w:szCs w:val="20"/>
              </w:rPr>
            </w:pPr>
            <w:r w:rsidRPr="00BA0B56">
              <w:rPr>
                <w:sz w:val="20"/>
                <w:szCs w:val="20"/>
              </w:rPr>
              <w:t xml:space="preserve">Autentifikácia </w:t>
            </w:r>
          </w:p>
        </w:tc>
        <w:tc>
          <w:tcPr>
            <w:tcW w:w="7087" w:type="dxa"/>
            <w:tcBorders>
              <w:top w:val="single" w:sz="4" w:space="0" w:color="auto"/>
              <w:left w:val="single" w:sz="4" w:space="0" w:color="auto"/>
              <w:bottom w:val="single" w:sz="4" w:space="0" w:color="auto"/>
              <w:right w:val="single" w:sz="4" w:space="0" w:color="auto"/>
            </w:tcBorders>
          </w:tcPr>
          <w:p w14:paraId="2B4A0671" w14:textId="1F0A61D0" w:rsidR="001F1E5C" w:rsidRPr="00BA0B56" w:rsidRDefault="001F1E5C" w:rsidP="00D42F4A">
            <w:pPr>
              <w:pStyle w:val="OPZTableText"/>
              <w:rPr>
                <w:sz w:val="20"/>
                <w:szCs w:val="20"/>
              </w:rPr>
            </w:pPr>
            <w:r w:rsidRPr="00BA0B56">
              <w:rPr>
                <w:sz w:val="20"/>
                <w:szCs w:val="20"/>
              </w:rPr>
              <w:t>Proces identifikácie a overenia identity používateľa, žiadajúceho o službu alebo zdroj, v informačnom systéme.</w:t>
            </w:r>
          </w:p>
        </w:tc>
      </w:tr>
      <w:tr w:rsidR="001F1E5C" w:rsidRPr="00D42F4A" w14:paraId="6C064251" w14:textId="77777777" w:rsidTr="004E3628">
        <w:tc>
          <w:tcPr>
            <w:tcW w:w="2122" w:type="dxa"/>
            <w:tcBorders>
              <w:top w:val="single" w:sz="4" w:space="0" w:color="auto"/>
              <w:left w:val="single" w:sz="4" w:space="0" w:color="auto"/>
              <w:bottom w:val="single" w:sz="4" w:space="0" w:color="auto"/>
              <w:right w:val="single" w:sz="4" w:space="0" w:color="auto"/>
            </w:tcBorders>
          </w:tcPr>
          <w:p w14:paraId="20494C13" w14:textId="42548F83" w:rsidR="001F1E5C" w:rsidRPr="00BA0B56" w:rsidRDefault="001F1E5C" w:rsidP="00D42F4A">
            <w:pPr>
              <w:pStyle w:val="OPZTableText"/>
              <w:rPr>
                <w:rFonts w:eastAsia="Aptos Narrow"/>
                <w:sz w:val="20"/>
                <w:szCs w:val="20"/>
              </w:rPr>
            </w:pPr>
            <w:r w:rsidRPr="00BA0B56">
              <w:rPr>
                <w:sz w:val="20"/>
                <w:szCs w:val="20"/>
              </w:rPr>
              <w:t>Autorizácia</w:t>
            </w:r>
          </w:p>
        </w:tc>
        <w:tc>
          <w:tcPr>
            <w:tcW w:w="7087" w:type="dxa"/>
            <w:tcBorders>
              <w:top w:val="single" w:sz="4" w:space="0" w:color="auto"/>
              <w:left w:val="single" w:sz="4" w:space="0" w:color="auto"/>
              <w:bottom w:val="single" w:sz="4" w:space="0" w:color="auto"/>
              <w:right w:val="single" w:sz="4" w:space="0" w:color="auto"/>
            </w:tcBorders>
          </w:tcPr>
          <w:p w14:paraId="41127E64" w14:textId="77777777" w:rsidR="001F1E5C" w:rsidRPr="00BA0B56" w:rsidRDefault="001F1E5C" w:rsidP="00D42F4A">
            <w:pPr>
              <w:pStyle w:val="OPZTableText"/>
              <w:rPr>
                <w:sz w:val="20"/>
                <w:szCs w:val="20"/>
              </w:rPr>
            </w:pPr>
            <w:r w:rsidRPr="00BA0B56">
              <w:rPr>
                <w:sz w:val="20"/>
                <w:szCs w:val="20"/>
              </w:rPr>
              <w:t xml:space="preserve">1. Autorizácia predstavuje overenie oprávnenia osôb, či objektov na prácu s dátami. </w:t>
            </w:r>
          </w:p>
          <w:p w14:paraId="7D878815" w14:textId="77777777" w:rsidR="001F1E5C" w:rsidRPr="00BA0B56" w:rsidRDefault="001F1E5C" w:rsidP="00D42F4A">
            <w:pPr>
              <w:pStyle w:val="OPZTableText"/>
              <w:rPr>
                <w:sz w:val="20"/>
                <w:szCs w:val="20"/>
              </w:rPr>
            </w:pPr>
            <w:r w:rsidRPr="00BA0B56">
              <w:rPr>
                <w:sz w:val="20"/>
                <w:szCs w:val="20"/>
              </w:rPr>
              <w:t>2. Pod autorizáciou sa rozumie vyjadrenie súhlasu s obsahom právneho úkonu a s vykonaním tohto právneho úkonu v elektronickej podobe.</w:t>
            </w:r>
          </w:p>
          <w:p w14:paraId="537C91F4" w14:textId="77777777" w:rsidR="001F1E5C" w:rsidRPr="00BA0B56" w:rsidRDefault="001F1E5C" w:rsidP="00D42F4A">
            <w:pPr>
              <w:pStyle w:val="OPZTableText"/>
              <w:rPr>
                <w:sz w:val="20"/>
                <w:szCs w:val="20"/>
              </w:rPr>
            </w:pPr>
            <w:r w:rsidRPr="00BA0B56">
              <w:rPr>
                <w:sz w:val="20"/>
                <w:szCs w:val="20"/>
              </w:rPr>
              <w:t>V zmysle § 23 zákona o e-Governmente:</w:t>
            </w:r>
          </w:p>
          <w:p w14:paraId="6CF80F16" w14:textId="77777777" w:rsidR="001F1E5C" w:rsidRPr="00BA0B56" w:rsidRDefault="001F1E5C" w:rsidP="00D42F4A">
            <w:pPr>
              <w:pStyle w:val="OPZTableText"/>
              <w:rPr>
                <w:sz w:val="20"/>
                <w:szCs w:val="20"/>
              </w:rPr>
            </w:pPr>
            <w:r w:rsidRPr="00BA0B56">
              <w:rPr>
                <w:sz w:val="20"/>
                <w:szCs w:val="20"/>
              </w:rPr>
              <w:t xml:space="preserve">orgán verejnej moci vykoná autorizáciu kvalifikovaným elektronickým podpisom a mandátnym certifikátom s pripojenou časovou pečiatkou alebo kvalifikovanou elektronickou pečaťou s pripojenou časovou pečiatkou. </w:t>
            </w:r>
          </w:p>
          <w:p w14:paraId="36F83B43" w14:textId="0367A9D8" w:rsidR="001F1E5C" w:rsidRPr="00BA0B56" w:rsidRDefault="001F1E5C" w:rsidP="00D42F4A">
            <w:pPr>
              <w:pStyle w:val="OPZTableText"/>
              <w:rPr>
                <w:sz w:val="20"/>
                <w:szCs w:val="20"/>
              </w:rPr>
            </w:pPr>
            <w:r w:rsidRPr="00BA0B56">
              <w:rPr>
                <w:sz w:val="20"/>
                <w:szCs w:val="20"/>
              </w:rPr>
              <w:t>osoba, ktorá nie je orgánom verejnej moci, vykoná autorizáciu kvalifikovaným elektronickým podpisom alebo kvalifikovanou elektronickou pečaťou (ak je náležitosťou právneho úkonu vlastnoručný podpis), ak je náležitosťou právneho úkonu úradne overený vlastnoručný podpis, pripojí aj časovú pečiatku.</w:t>
            </w:r>
          </w:p>
        </w:tc>
      </w:tr>
      <w:tr w:rsidR="001F1E5C" w:rsidRPr="00D42F4A" w14:paraId="227415CE" w14:textId="77777777" w:rsidTr="004E3628">
        <w:tc>
          <w:tcPr>
            <w:tcW w:w="2122" w:type="dxa"/>
            <w:tcBorders>
              <w:top w:val="single" w:sz="4" w:space="0" w:color="auto"/>
              <w:left w:val="single" w:sz="4" w:space="0" w:color="auto"/>
              <w:bottom w:val="single" w:sz="4" w:space="0" w:color="auto"/>
              <w:right w:val="single" w:sz="4" w:space="0" w:color="auto"/>
            </w:tcBorders>
          </w:tcPr>
          <w:p w14:paraId="64EB70D0" w14:textId="300EC4D3" w:rsidR="001F1E5C" w:rsidRPr="00BA0B56" w:rsidRDefault="001F1E5C" w:rsidP="00D42F4A">
            <w:pPr>
              <w:pStyle w:val="OPZTableText"/>
              <w:rPr>
                <w:sz w:val="20"/>
                <w:szCs w:val="20"/>
              </w:rPr>
            </w:pPr>
            <w:proofErr w:type="spellStart"/>
            <w:r w:rsidRPr="00BA0B56">
              <w:rPr>
                <w:sz w:val="20"/>
                <w:szCs w:val="20"/>
              </w:rPr>
              <w:t>Disig</w:t>
            </w:r>
            <w:proofErr w:type="spellEnd"/>
            <w:r w:rsidRPr="00BA0B56">
              <w:rPr>
                <w:sz w:val="20"/>
                <w:szCs w:val="20"/>
              </w:rPr>
              <w:t xml:space="preserve"> QES </w:t>
            </w:r>
            <w:proofErr w:type="spellStart"/>
            <w:r w:rsidRPr="00BA0B56">
              <w:rPr>
                <w:sz w:val="20"/>
                <w:szCs w:val="20"/>
              </w:rPr>
              <w:t>Signer</w:t>
            </w:r>
            <w:proofErr w:type="spellEnd"/>
            <w:r w:rsidRPr="00BA0B56">
              <w:rPr>
                <w:sz w:val="20"/>
                <w:szCs w:val="20"/>
              </w:rPr>
              <w:t xml:space="preserve"> / </w:t>
            </w:r>
            <w:proofErr w:type="spellStart"/>
            <w:r w:rsidRPr="00BA0B56">
              <w:rPr>
                <w:sz w:val="20"/>
                <w:szCs w:val="20"/>
              </w:rPr>
              <w:t>Disig.CEP.PAdES</w:t>
            </w:r>
            <w:proofErr w:type="spellEnd"/>
          </w:p>
        </w:tc>
        <w:tc>
          <w:tcPr>
            <w:tcW w:w="7087" w:type="dxa"/>
            <w:tcBorders>
              <w:top w:val="single" w:sz="4" w:space="0" w:color="auto"/>
              <w:left w:val="single" w:sz="4" w:space="0" w:color="auto"/>
              <w:bottom w:val="single" w:sz="4" w:space="0" w:color="auto"/>
              <w:right w:val="single" w:sz="4" w:space="0" w:color="auto"/>
            </w:tcBorders>
          </w:tcPr>
          <w:p w14:paraId="3753BC85" w14:textId="41A19903" w:rsidR="001F1E5C" w:rsidRPr="00BA0B56" w:rsidRDefault="001F1E5C" w:rsidP="00D42F4A">
            <w:pPr>
              <w:pStyle w:val="OPZTableText"/>
              <w:rPr>
                <w:sz w:val="20"/>
                <w:szCs w:val="20"/>
              </w:rPr>
            </w:pPr>
            <w:r w:rsidRPr="00BA0B56">
              <w:rPr>
                <w:sz w:val="20"/>
                <w:szCs w:val="20"/>
              </w:rPr>
              <w:t xml:space="preserve">Aplikácia, ktorá slúži na automatické vyhotovovanie a overovanie kvalifikovaného elektronického podpisu a pečate vo formáte </w:t>
            </w:r>
            <w:proofErr w:type="spellStart"/>
            <w:r w:rsidRPr="00BA0B56">
              <w:rPr>
                <w:sz w:val="20"/>
                <w:szCs w:val="20"/>
              </w:rPr>
              <w:t>PAdES</w:t>
            </w:r>
            <w:proofErr w:type="spellEnd"/>
            <w:r w:rsidRPr="00BA0B56">
              <w:rPr>
                <w:sz w:val="20"/>
                <w:szCs w:val="20"/>
              </w:rPr>
              <w:t xml:space="preserve"> v rámci existujúceho CEP</w:t>
            </w:r>
          </w:p>
        </w:tc>
      </w:tr>
      <w:tr w:rsidR="001F1E5C" w:rsidRPr="00D42F4A" w14:paraId="239EEAAC" w14:textId="77777777" w:rsidTr="004E3628">
        <w:tc>
          <w:tcPr>
            <w:tcW w:w="2122" w:type="dxa"/>
            <w:tcBorders>
              <w:top w:val="single" w:sz="4" w:space="0" w:color="auto"/>
              <w:left w:val="single" w:sz="4" w:space="0" w:color="auto"/>
              <w:bottom w:val="single" w:sz="4" w:space="0" w:color="auto"/>
              <w:right w:val="single" w:sz="4" w:space="0" w:color="auto"/>
            </w:tcBorders>
          </w:tcPr>
          <w:p w14:paraId="59AC6EF5" w14:textId="0B7F95E5" w:rsidR="001F1E5C" w:rsidRPr="00BA0B56" w:rsidRDefault="001F1E5C" w:rsidP="00D42F4A">
            <w:pPr>
              <w:pStyle w:val="OPZTableText"/>
              <w:rPr>
                <w:sz w:val="20"/>
                <w:szCs w:val="20"/>
              </w:rPr>
            </w:pPr>
            <w:hyperlink r:id="rId11" w:history="1">
              <w:r w:rsidRPr="00BA0B56">
                <w:rPr>
                  <w:rStyle w:val="Hyperlink"/>
                  <w:sz w:val="20"/>
                  <w:szCs w:val="20"/>
                </w:rPr>
                <w:t>Dokumentácia validačného reportu SNCA</w:t>
              </w:r>
            </w:hyperlink>
          </w:p>
        </w:tc>
        <w:tc>
          <w:tcPr>
            <w:tcW w:w="7087" w:type="dxa"/>
            <w:tcBorders>
              <w:top w:val="single" w:sz="4" w:space="0" w:color="auto"/>
              <w:left w:val="single" w:sz="4" w:space="0" w:color="auto"/>
              <w:bottom w:val="single" w:sz="4" w:space="0" w:color="auto"/>
              <w:right w:val="single" w:sz="4" w:space="0" w:color="auto"/>
            </w:tcBorders>
          </w:tcPr>
          <w:p w14:paraId="4729A4AA" w14:textId="38A63028" w:rsidR="001F1E5C" w:rsidRPr="00BA0B56" w:rsidRDefault="001F1E5C" w:rsidP="00D42F4A">
            <w:pPr>
              <w:pStyle w:val="OPZTableText"/>
              <w:rPr>
                <w:sz w:val="20"/>
                <w:szCs w:val="20"/>
              </w:rPr>
            </w:pPr>
            <w:r w:rsidRPr="00BA0B56">
              <w:rPr>
                <w:sz w:val="20"/>
                <w:szCs w:val="20"/>
              </w:rPr>
              <w:t>Popis dátovej štruktúry validačného reportu služby validácie zverejnený na webovom sídle SNCA</w:t>
            </w:r>
          </w:p>
        </w:tc>
      </w:tr>
      <w:tr w:rsidR="001F1E5C" w:rsidRPr="00D42F4A" w14:paraId="0A495A7D" w14:textId="77777777" w:rsidTr="004E3628">
        <w:tc>
          <w:tcPr>
            <w:tcW w:w="2122" w:type="dxa"/>
            <w:tcBorders>
              <w:top w:val="single" w:sz="4" w:space="0" w:color="auto"/>
              <w:left w:val="single" w:sz="4" w:space="0" w:color="auto"/>
              <w:bottom w:val="single" w:sz="4" w:space="0" w:color="auto"/>
              <w:right w:val="single" w:sz="4" w:space="0" w:color="auto"/>
            </w:tcBorders>
          </w:tcPr>
          <w:p w14:paraId="6FFCFF36" w14:textId="31D990F3" w:rsidR="001F1E5C" w:rsidRPr="00BA0B56" w:rsidRDefault="001F1E5C" w:rsidP="00D42F4A">
            <w:pPr>
              <w:pStyle w:val="OPZTableText"/>
              <w:rPr>
                <w:sz w:val="20"/>
                <w:szCs w:val="20"/>
              </w:rPr>
            </w:pPr>
            <w:proofErr w:type="spellStart"/>
            <w:r w:rsidRPr="00BA0B56">
              <w:rPr>
                <w:sz w:val="20"/>
                <w:szCs w:val="20"/>
              </w:rPr>
              <w:t>eGOV,e-Government</w:t>
            </w:r>
            <w:proofErr w:type="spellEnd"/>
            <w:r w:rsidRPr="00BA0B56">
              <w:rPr>
                <w:sz w:val="20"/>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57D7BBB8" w14:textId="029A89EE" w:rsidR="001F1E5C" w:rsidRPr="00BA0B56" w:rsidRDefault="001F1E5C" w:rsidP="00D42F4A">
            <w:pPr>
              <w:pStyle w:val="OPZTableText"/>
              <w:rPr>
                <w:sz w:val="20"/>
                <w:szCs w:val="20"/>
              </w:rPr>
            </w:pPr>
            <w:proofErr w:type="spellStart"/>
            <w:r w:rsidRPr="00BA0B56">
              <w:rPr>
                <w:sz w:val="20"/>
                <w:szCs w:val="20"/>
              </w:rPr>
              <w:t>Electronical</w:t>
            </w:r>
            <w:proofErr w:type="spellEnd"/>
            <w:r w:rsidRPr="00BA0B56">
              <w:rPr>
                <w:sz w:val="20"/>
                <w:szCs w:val="20"/>
              </w:rPr>
              <w:t xml:space="preserve"> </w:t>
            </w:r>
            <w:proofErr w:type="spellStart"/>
            <w:r w:rsidRPr="00BA0B56">
              <w:rPr>
                <w:sz w:val="20"/>
                <w:szCs w:val="20"/>
              </w:rPr>
              <w:t>Government</w:t>
            </w:r>
            <w:proofErr w:type="spellEnd"/>
            <w:r w:rsidRPr="00BA0B56">
              <w:rPr>
                <w:sz w:val="20"/>
                <w:szCs w:val="20"/>
              </w:rPr>
              <w:t xml:space="preserve">, elektronizácia verejnej správy </w:t>
            </w:r>
          </w:p>
        </w:tc>
      </w:tr>
      <w:tr w:rsidR="001F1E5C" w:rsidRPr="00D42F4A" w14:paraId="1B3D12DB" w14:textId="77777777" w:rsidTr="00E51E00">
        <w:tc>
          <w:tcPr>
            <w:tcW w:w="2122" w:type="dxa"/>
            <w:tcBorders>
              <w:top w:val="single" w:sz="4" w:space="0" w:color="auto"/>
              <w:left w:val="single" w:sz="4" w:space="0" w:color="auto"/>
              <w:bottom w:val="single" w:sz="4" w:space="0" w:color="auto"/>
              <w:right w:val="single" w:sz="4" w:space="0" w:color="auto"/>
            </w:tcBorders>
            <w:vAlign w:val="bottom"/>
          </w:tcPr>
          <w:p w14:paraId="3121CC9E" w14:textId="47CAC34A" w:rsidR="001F1E5C" w:rsidRPr="00BA0B56" w:rsidRDefault="001F1E5C" w:rsidP="00D42F4A">
            <w:pPr>
              <w:pStyle w:val="OPZTableText"/>
              <w:rPr>
                <w:sz w:val="20"/>
                <w:szCs w:val="20"/>
              </w:rPr>
            </w:pPr>
            <w:proofErr w:type="spellStart"/>
            <w:r w:rsidRPr="00BA0B56">
              <w:rPr>
                <w:sz w:val="20"/>
                <w:szCs w:val="20"/>
              </w:rPr>
              <w:t>eIDAS</w:t>
            </w:r>
            <w:proofErr w:type="spellEnd"/>
            <w:r w:rsidRPr="00BA0B56">
              <w:rPr>
                <w:sz w:val="20"/>
                <w:szCs w:val="20"/>
              </w:rPr>
              <w:t xml:space="preserve"> </w:t>
            </w:r>
            <w:proofErr w:type="spellStart"/>
            <w:r w:rsidRPr="00BA0B56">
              <w:rPr>
                <w:sz w:val="20"/>
                <w:szCs w:val="20"/>
              </w:rPr>
              <w:t>Node</w:t>
            </w:r>
            <w:proofErr w:type="spellEnd"/>
            <w:r w:rsidRPr="00BA0B56">
              <w:rPr>
                <w:sz w:val="20"/>
                <w:szCs w:val="20"/>
              </w:rPr>
              <w:t xml:space="preserve"> / (</w:t>
            </w:r>
            <w:proofErr w:type="spellStart"/>
            <w:r w:rsidRPr="00BA0B56">
              <w:rPr>
                <w:sz w:val="20"/>
                <w:szCs w:val="20"/>
              </w:rPr>
              <w:t>eIDAS</w:t>
            </w:r>
            <w:proofErr w:type="spellEnd"/>
            <w:r w:rsidRPr="00BA0B56">
              <w:rPr>
                <w:sz w:val="20"/>
                <w:szCs w:val="20"/>
              </w:rPr>
              <w:t xml:space="preserve"> uzol) </w:t>
            </w:r>
          </w:p>
        </w:tc>
        <w:tc>
          <w:tcPr>
            <w:tcW w:w="7087" w:type="dxa"/>
            <w:tcBorders>
              <w:top w:val="single" w:sz="4" w:space="0" w:color="auto"/>
              <w:left w:val="single" w:sz="4" w:space="0" w:color="auto"/>
              <w:bottom w:val="single" w:sz="4" w:space="0" w:color="auto"/>
              <w:right w:val="single" w:sz="4" w:space="0" w:color="auto"/>
            </w:tcBorders>
            <w:vAlign w:val="bottom"/>
          </w:tcPr>
          <w:p w14:paraId="78B38D35" w14:textId="0B4D6532" w:rsidR="001F1E5C" w:rsidRPr="00BA0B56" w:rsidRDefault="001F1E5C" w:rsidP="00D42F4A">
            <w:pPr>
              <w:pStyle w:val="OPZTableText"/>
              <w:rPr>
                <w:sz w:val="20"/>
                <w:szCs w:val="20"/>
              </w:rPr>
            </w:pPr>
            <w:r w:rsidRPr="00BA0B56">
              <w:rPr>
                <w:sz w:val="20"/>
                <w:szCs w:val="20"/>
              </w:rPr>
              <w:t xml:space="preserve">Uzol je súčasťou architektúry </w:t>
            </w:r>
            <w:proofErr w:type="spellStart"/>
            <w:r w:rsidRPr="00BA0B56">
              <w:rPr>
                <w:sz w:val="20"/>
                <w:szCs w:val="20"/>
              </w:rPr>
              <w:t>interoperability</w:t>
            </w:r>
            <w:proofErr w:type="spellEnd"/>
            <w:r w:rsidRPr="00BA0B56">
              <w:rPr>
                <w:sz w:val="20"/>
                <w:szCs w:val="20"/>
              </w:rPr>
              <w:t xml:space="preserve"> elektronickej identifikácie členských štátov EÚ v zmysle Nariadenia Európskeho parlamentu a Rady EÚ č. 910/2014 (</w:t>
            </w:r>
            <w:proofErr w:type="spellStart"/>
            <w:r w:rsidRPr="00BA0B56">
              <w:rPr>
                <w:sz w:val="20"/>
                <w:szCs w:val="20"/>
              </w:rPr>
              <w:t>eIDAS</w:t>
            </w:r>
            <w:proofErr w:type="spellEnd"/>
            <w:r w:rsidRPr="00BA0B56">
              <w:rPr>
                <w:sz w:val="20"/>
                <w:szCs w:val="20"/>
              </w:rPr>
              <w:t>) a Vykonávacieho nariadenia Komisie EÚ č. 2015/1501. Umožňuje cezhraničnú autentifikáciu prostriedkami elektronickej identifikácie posúdenými a notifikovanými členskými štátmi EÚ predpísanou procedúrou a zverejnenými vo Vestníku EÚ. Členské štáty majú povinnosť akceptovať pri prístupe k službám online svojho verejného sektora autentifikáciu prostriedkami elektronickej identifikácie minimálne na úrovni „pokročilá“.</w:t>
            </w:r>
          </w:p>
        </w:tc>
      </w:tr>
      <w:tr w:rsidR="001F1E5C" w:rsidRPr="00D42F4A" w14:paraId="41B3089D" w14:textId="77777777" w:rsidTr="004E3628">
        <w:tc>
          <w:tcPr>
            <w:tcW w:w="2122" w:type="dxa"/>
            <w:tcBorders>
              <w:top w:val="single" w:sz="4" w:space="0" w:color="auto"/>
              <w:left w:val="single" w:sz="4" w:space="0" w:color="auto"/>
              <w:bottom w:val="single" w:sz="4" w:space="0" w:color="auto"/>
              <w:right w:val="single" w:sz="4" w:space="0" w:color="auto"/>
            </w:tcBorders>
          </w:tcPr>
          <w:p w14:paraId="61506802" w14:textId="0F55F9C9" w:rsidR="001F1E5C" w:rsidRPr="00BA0B56" w:rsidRDefault="001F1E5C" w:rsidP="00D42F4A">
            <w:pPr>
              <w:pStyle w:val="OPZTableText"/>
              <w:rPr>
                <w:sz w:val="20"/>
                <w:szCs w:val="20"/>
              </w:rPr>
            </w:pPr>
            <w:proofErr w:type="spellStart"/>
            <w:r w:rsidRPr="00BA0B56">
              <w:rPr>
                <w:sz w:val="20"/>
                <w:szCs w:val="20"/>
              </w:rPr>
              <w:t>GitLab</w:t>
            </w:r>
            <w:proofErr w:type="spellEnd"/>
          </w:p>
        </w:tc>
        <w:tc>
          <w:tcPr>
            <w:tcW w:w="7087" w:type="dxa"/>
            <w:tcBorders>
              <w:top w:val="single" w:sz="4" w:space="0" w:color="auto"/>
              <w:left w:val="single" w:sz="4" w:space="0" w:color="auto"/>
              <w:bottom w:val="single" w:sz="4" w:space="0" w:color="auto"/>
              <w:right w:val="single" w:sz="4" w:space="0" w:color="auto"/>
            </w:tcBorders>
          </w:tcPr>
          <w:p w14:paraId="64B2FD79" w14:textId="7A6639EF" w:rsidR="001F1E5C" w:rsidRPr="00BA0B56" w:rsidRDefault="001F1E5C" w:rsidP="00D42F4A">
            <w:pPr>
              <w:pStyle w:val="OPZTableText"/>
              <w:rPr>
                <w:sz w:val="20"/>
                <w:szCs w:val="20"/>
              </w:rPr>
            </w:pPr>
            <w:proofErr w:type="spellStart"/>
            <w:r w:rsidRPr="00BA0B56">
              <w:rPr>
                <w:sz w:val="20"/>
                <w:szCs w:val="20"/>
              </w:rPr>
              <w:t>GitLab</w:t>
            </w:r>
            <w:proofErr w:type="spellEnd"/>
            <w:r w:rsidRPr="00BA0B56">
              <w:rPr>
                <w:sz w:val="20"/>
                <w:szCs w:val="20"/>
              </w:rPr>
              <w:t xml:space="preserve"> je webový nástroj pre kompletný vývojový cyklus software. Poskytuje </w:t>
            </w:r>
            <w:proofErr w:type="spellStart"/>
            <w:r w:rsidRPr="00BA0B56">
              <w:rPr>
                <w:sz w:val="20"/>
                <w:szCs w:val="20"/>
              </w:rPr>
              <w:t>gitový</w:t>
            </w:r>
            <w:proofErr w:type="spellEnd"/>
            <w:r w:rsidRPr="00BA0B56">
              <w:rPr>
                <w:sz w:val="20"/>
                <w:szCs w:val="20"/>
              </w:rPr>
              <w:t xml:space="preserve"> repozitár, wiki, sledovanie chýb, kontinuálnu integrácii (CI/CD), vytváranie skupín, tvorbu statických webových stránok či management projektu. Umožňuje vývojovým, prevádzkovým a bezpečnostným tímom navrhovať a spravovať softvér pomocou jediného nástroja. </w:t>
            </w:r>
          </w:p>
        </w:tc>
      </w:tr>
      <w:tr w:rsidR="00E2629B" w:rsidRPr="00D42F4A" w14:paraId="6A374E06" w14:textId="77777777" w:rsidTr="004E3628">
        <w:tc>
          <w:tcPr>
            <w:tcW w:w="2122" w:type="dxa"/>
            <w:tcBorders>
              <w:top w:val="single" w:sz="4" w:space="0" w:color="auto"/>
              <w:left w:val="single" w:sz="4" w:space="0" w:color="auto"/>
              <w:bottom w:val="single" w:sz="4" w:space="0" w:color="auto"/>
              <w:right w:val="single" w:sz="4" w:space="0" w:color="auto"/>
            </w:tcBorders>
          </w:tcPr>
          <w:p w14:paraId="2F083066" w14:textId="1A81F69C" w:rsidR="00E2629B" w:rsidRPr="00BA0B56" w:rsidRDefault="00E2629B" w:rsidP="00D42F4A">
            <w:pPr>
              <w:pStyle w:val="OPZTableText"/>
              <w:rPr>
                <w:sz w:val="20"/>
                <w:szCs w:val="20"/>
              </w:rPr>
            </w:pPr>
            <w:hyperlink r:id="rId12">
              <w:r w:rsidRPr="00BA0B56">
                <w:rPr>
                  <w:rStyle w:val="Hyperlink"/>
                  <w:sz w:val="20"/>
                  <w:szCs w:val="20"/>
                </w:rPr>
                <w:t>Integračný manuál k CEP</w:t>
              </w:r>
            </w:hyperlink>
          </w:p>
        </w:tc>
        <w:tc>
          <w:tcPr>
            <w:tcW w:w="7087" w:type="dxa"/>
            <w:tcBorders>
              <w:top w:val="single" w:sz="4" w:space="0" w:color="auto"/>
              <w:left w:val="single" w:sz="4" w:space="0" w:color="auto"/>
              <w:bottom w:val="single" w:sz="4" w:space="0" w:color="auto"/>
              <w:right w:val="single" w:sz="4" w:space="0" w:color="auto"/>
            </w:tcBorders>
          </w:tcPr>
          <w:p w14:paraId="68359238" w14:textId="040FA1C2" w:rsidR="00E2629B" w:rsidRPr="00BA0B56" w:rsidRDefault="00E2629B" w:rsidP="00D42F4A">
            <w:pPr>
              <w:pStyle w:val="OPZTableText"/>
              <w:rPr>
                <w:sz w:val="20"/>
                <w:szCs w:val="20"/>
              </w:rPr>
            </w:pPr>
            <w:r w:rsidRPr="00BA0B56">
              <w:rPr>
                <w:sz w:val="20"/>
                <w:szCs w:val="20"/>
              </w:rPr>
              <w:t xml:space="preserve">Integračný manuál k modulu CEP ÚPVS s popisom služieb v aktuálnej verzii na Partner </w:t>
            </w:r>
            <w:proofErr w:type="spellStart"/>
            <w:r w:rsidRPr="00BA0B56">
              <w:rPr>
                <w:sz w:val="20"/>
                <w:szCs w:val="20"/>
              </w:rPr>
              <w:t>Framework</w:t>
            </w:r>
            <w:proofErr w:type="spellEnd"/>
            <w:r w:rsidRPr="00BA0B56">
              <w:rPr>
                <w:sz w:val="20"/>
                <w:szCs w:val="20"/>
              </w:rPr>
              <w:t xml:space="preserve"> </w:t>
            </w:r>
            <w:proofErr w:type="spellStart"/>
            <w:r w:rsidRPr="00BA0B56">
              <w:rPr>
                <w:sz w:val="20"/>
                <w:szCs w:val="20"/>
              </w:rPr>
              <w:t>Portal</w:t>
            </w:r>
            <w:proofErr w:type="spellEnd"/>
            <w:r w:rsidRPr="00BA0B56">
              <w:rPr>
                <w:sz w:val="20"/>
                <w:szCs w:val="20"/>
              </w:rPr>
              <w:t xml:space="preserve"> (PFP) portáli </w:t>
            </w:r>
          </w:p>
        </w:tc>
      </w:tr>
      <w:tr w:rsidR="00E2629B" w:rsidRPr="00D42F4A" w14:paraId="095EA371" w14:textId="77777777" w:rsidTr="004E3628">
        <w:tc>
          <w:tcPr>
            <w:tcW w:w="2122" w:type="dxa"/>
            <w:tcBorders>
              <w:top w:val="single" w:sz="4" w:space="0" w:color="auto"/>
              <w:left w:val="single" w:sz="4" w:space="0" w:color="auto"/>
              <w:bottom w:val="single" w:sz="4" w:space="0" w:color="auto"/>
              <w:right w:val="single" w:sz="4" w:space="0" w:color="auto"/>
            </w:tcBorders>
          </w:tcPr>
          <w:p w14:paraId="2FE6A041" w14:textId="66D23A06" w:rsidR="00E2629B" w:rsidRPr="00BA0B56" w:rsidRDefault="00E2629B" w:rsidP="00D42F4A">
            <w:pPr>
              <w:pStyle w:val="OPZTableText"/>
              <w:rPr>
                <w:sz w:val="20"/>
                <w:szCs w:val="20"/>
              </w:rPr>
            </w:pPr>
            <w:hyperlink r:id="rId13">
              <w:r w:rsidRPr="00BA0B56">
                <w:rPr>
                  <w:rStyle w:val="Hyperlink"/>
                  <w:sz w:val="20"/>
                  <w:szCs w:val="20"/>
                </w:rPr>
                <w:t>Integračný Manuál k MDU</w:t>
              </w:r>
            </w:hyperlink>
          </w:p>
        </w:tc>
        <w:tc>
          <w:tcPr>
            <w:tcW w:w="7087" w:type="dxa"/>
            <w:tcBorders>
              <w:top w:val="single" w:sz="4" w:space="0" w:color="auto"/>
              <w:left w:val="single" w:sz="4" w:space="0" w:color="auto"/>
              <w:bottom w:val="single" w:sz="4" w:space="0" w:color="auto"/>
              <w:right w:val="single" w:sz="4" w:space="0" w:color="auto"/>
            </w:tcBorders>
          </w:tcPr>
          <w:p w14:paraId="3D9E9FA0" w14:textId="2A08E62D" w:rsidR="00E2629B" w:rsidRPr="00BA0B56" w:rsidRDefault="00E2629B" w:rsidP="00D42F4A">
            <w:pPr>
              <w:pStyle w:val="OPZTableText"/>
              <w:rPr>
                <w:sz w:val="20"/>
                <w:szCs w:val="20"/>
              </w:rPr>
            </w:pPr>
            <w:r w:rsidRPr="00BA0B56">
              <w:rPr>
                <w:sz w:val="20"/>
                <w:szCs w:val="20"/>
              </w:rPr>
              <w:t xml:space="preserve">Integračný manuál k MDU v aktuálnej verzii na Partner </w:t>
            </w:r>
            <w:proofErr w:type="spellStart"/>
            <w:r w:rsidRPr="00BA0B56">
              <w:rPr>
                <w:sz w:val="20"/>
                <w:szCs w:val="20"/>
              </w:rPr>
              <w:t>Framework</w:t>
            </w:r>
            <w:proofErr w:type="spellEnd"/>
            <w:r w:rsidRPr="00BA0B56">
              <w:rPr>
                <w:sz w:val="20"/>
                <w:szCs w:val="20"/>
              </w:rPr>
              <w:t xml:space="preserve"> </w:t>
            </w:r>
            <w:proofErr w:type="spellStart"/>
            <w:r w:rsidRPr="00BA0B56">
              <w:rPr>
                <w:sz w:val="20"/>
                <w:szCs w:val="20"/>
              </w:rPr>
              <w:t>Portal</w:t>
            </w:r>
            <w:proofErr w:type="spellEnd"/>
            <w:r w:rsidRPr="00BA0B56">
              <w:rPr>
                <w:sz w:val="20"/>
                <w:szCs w:val="20"/>
              </w:rPr>
              <w:t xml:space="preserve"> (PFP) portáli </w:t>
            </w:r>
          </w:p>
        </w:tc>
      </w:tr>
      <w:tr w:rsidR="00E2629B" w:rsidRPr="00D42F4A" w14:paraId="33EEC988" w14:textId="77777777" w:rsidTr="004E3628">
        <w:tc>
          <w:tcPr>
            <w:tcW w:w="2122" w:type="dxa"/>
            <w:tcBorders>
              <w:top w:val="single" w:sz="4" w:space="0" w:color="auto"/>
              <w:left w:val="single" w:sz="4" w:space="0" w:color="auto"/>
              <w:bottom w:val="single" w:sz="4" w:space="0" w:color="auto"/>
              <w:right w:val="single" w:sz="4" w:space="0" w:color="auto"/>
            </w:tcBorders>
          </w:tcPr>
          <w:p w14:paraId="76D399FD" w14:textId="0527BB42" w:rsidR="00E2629B" w:rsidRPr="00BA0B56" w:rsidRDefault="00E2629B" w:rsidP="00D42F4A">
            <w:pPr>
              <w:pStyle w:val="OPZTableText"/>
              <w:rPr>
                <w:sz w:val="20"/>
                <w:szCs w:val="20"/>
              </w:rPr>
            </w:pPr>
            <w:hyperlink r:id="rId14">
              <w:r w:rsidRPr="00BA0B56">
                <w:rPr>
                  <w:rStyle w:val="Hyperlink"/>
                  <w:sz w:val="20"/>
                  <w:szCs w:val="20"/>
                </w:rPr>
                <w:t>Integračný manuál k SNCA</w:t>
              </w:r>
            </w:hyperlink>
          </w:p>
        </w:tc>
        <w:tc>
          <w:tcPr>
            <w:tcW w:w="7087" w:type="dxa"/>
            <w:tcBorders>
              <w:top w:val="single" w:sz="4" w:space="0" w:color="auto"/>
              <w:left w:val="single" w:sz="4" w:space="0" w:color="auto"/>
              <w:bottom w:val="single" w:sz="4" w:space="0" w:color="auto"/>
              <w:right w:val="single" w:sz="4" w:space="0" w:color="auto"/>
            </w:tcBorders>
          </w:tcPr>
          <w:p w14:paraId="2EC76EB4" w14:textId="60478F38" w:rsidR="00E2629B" w:rsidRPr="00BA0B56" w:rsidRDefault="00E2629B" w:rsidP="00D42F4A">
            <w:pPr>
              <w:pStyle w:val="OPZTableText"/>
              <w:rPr>
                <w:sz w:val="20"/>
                <w:szCs w:val="20"/>
              </w:rPr>
            </w:pPr>
            <w:r w:rsidRPr="00BA0B56">
              <w:rPr>
                <w:sz w:val="20"/>
                <w:szCs w:val="20"/>
              </w:rPr>
              <w:t xml:space="preserve">Integračný manuál k SNCA v aktuálnej verzii na Partner </w:t>
            </w:r>
            <w:proofErr w:type="spellStart"/>
            <w:r w:rsidRPr="00BA0B56">
              <w:rPr>
                <w:sz w:val="20"/>
                <w:szCs w:val="20"/>
              </w:rPr>
              <w:t>Framework</w:t>
            </w:r>
            <w:proofErr w:type="spellEnd"/>
            <w:r w:rsidRPr="00BA0B56">
              <w:rPr>
                <w:sz w:val="20"/>
                <w:szCs w:val="20"/>
              </w:rPr>
              <w:t xml:space="preserve"> </w:t>
            </w:r>
            <w:proofErr w:type="spellStart"/>
            <w:r w:rsidRPr="00BA0B56">
              <w:rPr>
                <w:sz w:val="20"/>
                <w:szCs w:val="20"/>
              </w:rPr>
              <w:t>Portal</w:t>
            </w:r>
            <w:proofErr w:type="spellEnd"/>
            <w:r w:rsidRPr="00BA0B56">
              <w:rPr>
                <w:sz w:val="20"/>
                <w:szCs w:val="20"/>
              </w:rPr>
              <w:t xml:space="preserve"> (PFP) portáli </w:t>
            </w:r>
          </w:p>
        </w:tc>
      </w:tr>
      <w:tr w:rsidR="00E2629B" w:rsidRPr="00D42F4A" w14:paraId="75D5FB07" w14:textId="77777777" w:rsidTr="004E3628">
        <w:tc>
          <w:tcPr>
            <w:tcW w:w="2122" w:type="dxa"/>
            <w:tcBorders>
              <w:top w:val="single" w:sz="4" w:space="0" w:color="auto"/>
              <w:left w:val="single" w:sz="4" w:space="0" w:color="auto"/>
              <w:bottom w:val="single" w:sz="4" w:space="0" w:color="auto"/>
              <w:right w:val="single" w:sz="4" w:space="0" w:color="auto"/>
            </w:tcBorders>
          </w:tcPr>
          <w:p w14:paraId="151F7F45" w14:textId="31F07384" w:rsidR="00E2629B" w:rsidRPr="00BA0B56" w:rsidRDefault="00E2629B" w:rsidP="00D42F4A">
            <w:pPr>
              <w:pStyle w:val="OPZTableText"/>
              <w:rPr>
                <w:sz w:val="20"/>
                <w:szCs w:val="20"/>
              </w:rPr>
            </w:pPr>
            <w:hyperlink r:id="rId15" w:history="1">
              <w:r w:rsidRPr="00BA0B56">
                <w:rPr>
                  <w:rStyle w:val="Hyperlink"/>
                  <w:sz w:val="20"/>
                  <w:szCs w:val="20"/>
                </w:rPr>
                <w:t>Interný integračný manuál CEP</w:t>
              </w:r>
            </w:hyperlink>
          </w:p>
        </w:tc>
        <w:tc>
          <w:tcPr>
            <w:tcW w:w="7087" w:type="dxa"/>
            <w:tcBorders>
              <w:top w:val="single" w:sz="4" w:space="0" w:color="auto"/>
              <w:left w:val="single" w:sz="4" w:space="0" w:color="auto"/>
              <w:bottom w:val="single" w:sz="4" w:space="0" w:color="auto"/>
              <w:right w:val="single" w:sz="4" w:space="0" w:color="auto"/>
            </w:tcBorders>
          </w:tcPr>
          <w:p w14:paraId="74622FF0" w14:textId="708C6292" w:rsidR="00E2629B" w:rsidRPr="00BA0B56" w:rsidRDefault="00E2629B" w:rsidP="00D42F4A">
            <w:pPr>
              <w:pStyle w:val="OPZTableText"/>
              <w:rPr>
                <w:sz w:val="20"/>
                <w:szCs w:val="20"/>
              </w:rPr>
            </w:pPr>
            <w:r w:rsidRPr="00BA0B56">
              <w:rPr>
                <w:sz w:val="20"/>
                <w:szCs w:val="20"/>
              </w:rPr>
              <w:t xml:space="preserve">Interný integračný manuál k modulu CEP ÚPVS s popisom služieb v aktuálnej verzii na Partner </w:t>
            </w:r>
            <w:proofErr w:type="spellStart"/>
            <w:r w:rsidRPr="00BA0B56">
              <w:rPr>
                <w:sz w:val="20"/>
                <w:szCs w:val="20"/>
              </w:rPr>
              <w:t>Framework</w:t>
            </w:r>
            <w:proofErr w:type="spellEnd"/>
            <w:r w:rsidRPr="00BA0B56">
              <w:rPr>
                <w:sz w:val="20"/>
                <w:szCs w:val="20"/>
              </w:rPr>
              <w:t xml:space="preserve"> </w:t>
            </w:r>
            <w:proofErr w:type="spellStart"/>
            <w:r w:rsidRPr="00BA0B56">
              <w:rPr>
                <w:sz w:val="20"/>
                <w:szCs w:val="20"/>
              </w:rPr>
              <w:t>Portal</w:t>
            </w:r>
            <w:proofErr w:type="spellEnd"/>
            <w:r w:rsidRPr="00BA0B56">
              <w:rPr>
                <w:sz w:val="20"/>
                <w:szCs w:val="20"/>
              </w:rPr>
              <w:t xml:space="preserve"> (PFP) portáli </w:t>
            </w:r>
          </w:p>
        </w:tc>
      </w:tr>
      <w:tr w:rsidR="00E2629B" w:rsidRPr="00D42F4A" w14:paraId="4C0307AB" w14:textId="77777777" w:rsidTr="004E3628">
        <w:tc>
          <w:tcPr>
            <w:tcW w:w="2122" w:type="dxa"/>
            <w:tcBorders>
              <w:top w:val="single" w:sz="4" w:space="0" w:color="auto"/>
              <w:left w:val="single" w:sz="4" w:space="0" w:color="auto"/>
              <w:bottom w:val="single" w:sz="4" w:space="0" w:color="auto"/>
              <w:right w:val="single" w:sz="4" w:space="0" w:color="auto"/>
            </w:tcBorders>
          </w:tcPr>
          <w:p w14:paraId="07104208" w14:textId="6685740A" w:rsidR="00E2629B" w:rsidRPr="00BA0B56" w:rsidRDefault="00E2629B" w:rsidP="00D42F4A">
            <w:pPr>
              <w:pStyle w:val="OPZTableText"/>
              <w:rPr>
                <w:sz w:val="20"/>
                <w:szCs w:val="20"/>
              </w:rPr>
            </w:pPr>
            <w:proofErr w:type="spellStart"/>
            <w:r w:rsidRPr="00BA0B56">
              <w:rPr>
                <w:sz w:val="20"/>
                <w:szCs w:val="20"/>
              </w:rPr>
              <w:t>Kanonikalizácia</w:t>
            </w:r>
            <w:proofErr w:type="spellEnd"/>
          </w:p>
        </w:tc>
        <w:tc>
          <w:tcPr>
            <w:tcW w:w="7087" w:type="dxa"/>
            <w:tcBorders>
              <w:top w:val="single" w:sz="4" w:space="0" w:color="auto"/>
              <w:left w:val="single" w:sz="4" w:space="0" w:color="auto"/>
              <w:bottom w:val="single" w:sz="4" w:space="0" w:color="auto"/>
              <w:right w:val="single" w:sz="4" w:space="0" w:color="auto"/>
            </w:tcBorders>
          </w:tcPr>
          <w:p w14:paraId="28C1A064" w14:textId="77777777" w:rsidR="00E2629B" w:rsidRPr="00BA0B56" w:rsidRDefault="00E2629B" w:rsidP="00D42F4A">
            <w:pPr>
              <w:pStyle w:val="OPZTableText"/>
              <w:rPr>
                <w:sz w:val="20"/>
                <w:szCs w:val="20"/>
              </w:rPr>
            </w:pPr>
            <w:r w:rsidRPr="00BA0B56">
              <w:rPr>
                <w:sz w:val="20"/>
                <w:szCs w:val="20"/>
              </w:rPr>
              <w:t xml:space="preserve">a) urobenie kanonickým, prevod do kanonického tvaru/formátu, </w:t>
            </w:r>
          </w:p>
          <w:p w14:paraId="15C1EF38" w14:textId="2732E05D" w:rsidR="00E2629B" w:rsidRPr="00BA0B56" w:rsidRDefault="00E2629B" w:rsidP="00D42F4A">
            <w:pPr>
              <w:pStyle w:val="OPZTableText"/>
              <w:rPr>
                <w:sz w:val="20"/>
                <w:szCs w:val="20"/>
              </w:rPr>
            </w:pPr>
            <w:r w:rsidRPr="00BA0B56">
              <w:rPr>
                <w:sz w:val="20"/>
                <w:szCs w:val="20"/>
              </w:rPr>
              <w:t xml:space="preserve">b) tvorba kanonických dát z nekanonických dát; synonymum: normalizácia </w:t>
            </w:r>
          </w:p>
        </w:tc>
      </w:tr>
      <w:tr w:rsidR="00E2629B" w:rsidRPr="00D42F4A" w14:paraId="0EE47336" w14:textId="77777777" w:rsidTr="00E51E00">
        <w:tc>
          <w:tcPr>
            <w:tcW w:w="2122" w:type="dxa"/>
            <w:tcBorders>
              <w:top w:val="single" w:sz="4" w:space="0" w:color="auto"/>
              <w:left w:val="single" w:sz="4" w:space="0" w:color="auto"/>
              <w:bottom w:val="single" w:sz="4" w:space="0" w:color="auto"/>
              <w:right w:val="single" w:sz="4" w:space="0" w:color="auto"/>
            </w:tcBorders>
            <w:vAlign w:val="bottom"/>
          </w:tcPr>
          <w:p w14:paraId="6ADFDAD9" w14:textId="0D19E217" w:rsidR="00E2629B" w:rsidRPr="00BA0B56" w:rsidRDefault="00E2629B" w:rsidP="00D42F4A">
            <w:pPr>
              <w:pStyle w:val="OPZTableText"/>
              <w:rPr>
                <w:sz w:val="20"/>
                <w:szCs w:val="20"/>
              </w:rPr>
            </w:pPr>
            <w:r w:rsidRPr="00BA0B56">
              <w:rPr>
                <w:sz w:val="20"/>
                <w:szCs w:val="20"/>
              </w:rPr>
              <w:t>Konštruktor správ</w:t>
            </w:r>
          </w:p>
        </w:tc>
        <w:tc>
          <w:tcPr>
            <w:tcW w:w="7087" w:type="dxa"/>
            <w:tcBorders>
              <w:top w:val="single" w:sz="4" w:space="0" w:color="auto"/>
              <w:left w:val="single" w:sz="4" w:space="0" w:color="auto"/>
              <w:bottom w:val="single" w:sz="4" w:space="0" w:color="auto"/>
              <w:right w:val="single" w:sz="4" w:space="0" w:color="auto"/>
            </w:tcBorders>
            <w:vAlign w:val="bottom"/>
          </w:tcPr>
          <w:p w14:paraId="28DBAF65" w14:textId="350341C8" w:rsidR="00E2629B" w:rsidRPr="00BA0B56" w:rsidRDefault="00E2629B" w:rsidP="00D42F4A">
            <w:pPr>
              <w:pStyle w:val="OPZTableText"/>
              <w:rPr>
                <w:sz w:val="20"/>
                <w:szCs w:val="20"/>
              </w:rPr>
            </w:pPr>
            <w:r w:rsidRPr="00BA0B56">
              <w:rPr>
                <w:sz w:val="20"/>
                <w:szCs w:val="20"/>
              </w:rPr>
              <w:t>Modul systému ÚVPS v ktorom je možné vypĺňať elektronické správy na portáli ÚPVS (slovensko.sk)</w:t>
            </w:r>
          </w:p>
        </w:tc>
      </w:tr>
      <w:tr w:rsidR="00B32AF9" w:rsidRPr="00D42F4A" w14:paraId="6F0BA15F" w14:textId="77777777" w:rsidTr="004E3628">
        <w:tc>
          <w:tcPr>
            <w:tcW w:w="2122" w:type="dxa"/>
            <w:tcBorders>
              <w:top w:val="single" w:sz="4" w:space="0" w:color="auto"/>
              <w:left w:val="single" w:sz="4" w:space="0" w:color="auto"/>
              <w:bottom w:val="single" w:sz="4" w:space="0" w:color="auto"/>
              <w:right w:val="single" w:sz="4" w:space="0" w:color="auto"/>
            </w:tcBorders>
          </w:tcPr>
          <w:p w14:paraId="00D3643A" w14:textId="47557434" w:rsidR="00B32AF9" w:rsidRPr="00BA0B56" w:rsidRDefault="00B32AF9" w:rsidP="00D42F4A">
            <w:pPr>
              <w:pStyle w:val="OPZTableText"/>
              <w:rPr>
                <w:sz w:val="20"/>
                <w:szCs w:val="20"/>
              </w:rPr>
            </w:pPr>
            <w:proofErr w:type="spellStart"/>
            <w:r w:rsidRPr="00BA0B56">
              <w:rPr>
                <w:sz w:val="20"/>
                <w:szCs w:val="20"/>
              </w:rPr>
              <w:t>MetaIS</w:t>
            </w:r>
            <w:proofErr w:type="spellEnd"/>
            <w:r w:rsidRPr="00BA0B56">
              <w:rPr>
                <w:sz w:val="20"/>
                <w:szCs w:val="20"/>
              </w:rPr>
              <w:t>/METAIS</w:t>
            </w:r>
          </w:p>
        </w:tc>
        <w:tc>
          <w:tcPr>
            <w:tcW w:w="7087" w:type="dxa"/>
            <w:tcBorders>
              <w:top w:val="single" w:sz="4" w:space="0" w:color="auto"/>
              <w:left w:val="single" w:sz="4" w:space="0" w:color="auto"/>
              <w:bottom w:val="single" w:sz="4" w:space="0" w:color="auto"/>
              <w:right w:val="single" w:sz="4" w:space="0" w:color="auto"/>
            </w:tcBorders>
          </w:tcPr>
          <w:p w14:paraId="48B8A7D6" w14:textId="268E81AD" w:rsidR="00B32AF9" w:rsidRPr="00BA0B56" w:rsidRDefault="00B32AF9" w:rsidP="00D42F4A">
            <w:pPr>
              <w:pStyle w:val="OPZTableText"/>
              <w:rPr>
                <w:sz w:val="20"/>
                <w:szCs w:val="20"/>
              </w:rPr>
            </w:pPr>
            <w:r w:rsidRPr="00BA0B56">
              <w:rPr>
                <w:sz w:val="20"/>
                <w:szCs w:val="20"/>
              </w:rPr>
              <w:t xml:space="preserve">Centrálny </w:t>
            </w:r>
            <w:proofErr w:type="spellStart"/>
            <w:r w:rsidRPr="00BA0B56">
              <w:rPr>
                <w:sz w:val="20"/>
                <w:szCs w:val="20"/>
              </w:rPr>
              <w:t>metainformačný</w:t>
            </w:r>
            <w:proofErr w:type="spellEnd"/>
            <w:r w:rsidRPr="00BA0B56">
              <w:rPr>
                <w:sz w:val="20"/>
                <w:szCs w:val="20"/>
              </w:rPr>
              <w:t xml:space="preserve"> systém verejnej správy</w:t>
            </w:r>
          </w:p>
        </w:tc>
      </w:tr>
      <w:tr w:rsidR="00B32AF9" w:rsidRPr="00D42F4A" w14:paraId="71DE6BE0" w14:textId="77777777" w:rsidTr="00E51E00">
        <w:tc>
          <w:tcPr>
            <w:tcW w:w="2122" w:type="dxa"/>
            <w:tcBorders>
              <w:top w:val="single" w:sz="4" w:space="0" w:color="auto"/>
              <w:left w:val="single" w:sz="4" w:space="0" w:color="auto"/>
              <w:bottom w:val="single" w:sz="4" w:space="0" w:color="auto"/>
              <w:right w:val="single" w:sz="4" w:space="0" w:color="auto"/>
            </w:tcBorders>
          </w:tcPr>
          <w:p w14:paraId="3FB8E828" w14:textId="72123C01" w:rsidR="00B32AF9" w:rsidRPr="00BA0B56" w:rsidRDefault="00B32AF9" w:rsidP="00D42F4A">
            <w:pPr>
              <w:pStyle w:val="OPZTableText"/>
              <w:rPr>
                <w:rFonts w:cstheme="minorBidi"/>
                <w:sz w:val="20"/>
                <w:szCs w:val="20"/>
              </w:rPr>
            </w:pPr>
            <w:proofErr w:type="spellStart"/>
            <w:r w:rsidRPr="00BA0B56">
              <w:rPr>
                <w:sz w:val="20"/>
                <w:szCs w:val="20"/>
              </w:rPr>
              <w:t>eGOV,e-Government</w:t>
            </w:r>
            <w:proofErr w:type="spellEnd"/>
          </w:p>
        </w:tc>
        <w:tc>
          <w:tcPr>
            <w:tcW w:w="7087" w:type="dxa"/>
            <w:tcBorders>
              <w:top w:val="single" w:sz="4" w:space="0" w:color="auto"/>
              <w:left w:val="single" w:sz="4" w:space="0" w:color="auto"/>
              <w:bottom w:val="single" w:sz="4" w:space="0" w:color="auto"/>
              <w:right w:val="single" w:sz="4" w:space="0" w:color="auto"/>
            </w:tcBorders>
          </w:tcPr>
          <w:p w14:paraId="62625832" w14:textId="2DBFEFB3" w:rsidR="00B32AF9" w:rsidRPr="00BA0B56" w:rsidRDefault="00B32AF9" w:rsidP="00D42F4A">
            <w:pPr>
              <w:pStyle w:val="OPZTableText"/>
              <w:rPr>
                <w:sz w:val="20"/>
                <w:szCs w:val="20"/>
              </w:rPr>
            </w:pPr>
            <w:proofErr w:type="spellStart"/>
            <w:r w:rsidRPr="00BA0B56">
              <w:rPr>
                <w:sz w:val="20"/>
                <w:szCs w:val="20"/>
              </w:rPr>
              <w:t>Electronical</w:t>
            </w:r>
            <w:proofErr w:type="spellEnd"/>
            <w:r w:rsidRPr="00BA0B56">
              <w:rPr>
                <w:sz w:val="20"/>
                <w:szCs w:val="20"/>
              </w:rPr>
              <w:t xml:space="preserve"> </w:t>
            </w:r>
            <w:proofErr w:type="spellStart"/>
            <w:r w:rsidRPr="00BA0B56">
              <w:rPr>
                <w:sz w:val="20"/>
                <w:szCs w:val="20"/>
              </w:rPr>
              <w:t>Government</w:t>
            </w:r>
            <w:proofErr w:type="spellEnd"/>
            <w:r w:rsidRPr="00BA0B56">
              <w:rPr>
                <w:sz w:val="20"/>
                <w:szCs w:val="20"/>
              </w:rPr>
              <w:t>, elektronizácia verejnej správy</w:t>
            </w:r>
          </w:p>
        </w:tc>
      </w:tr>
      <w:tr w:rsidR="00B32AF9" w:rsidRPr="00D42F4A" w14:paraId="03FAF518" w14:textId="77777777" w:rsidTr="00E51E00">
        <w:tc>
          <w:tcPr>
            <w:tcW w:w="2122" w:type="dxa"/>
            <w:tcBorders>
              <w:top w:val="single" w:sz="4" w:space="0" w:color="auto"/>
              <w:left w:val="single" w:sz="4" w:space="0" w:color="auto"/>
              <w:bottom w:val="single" w:sz="4" w:space="0" w:color="auto"/>
              <w:right w:val="single" w:sz="4" w:space="0" w:color="auto"/>
            </w:tcBorders>
          </w:tcPr>
          <w:p w14:paraId="39DE09A1" w14:textId="2E313D51" w:rsidR="00B32AF9" w:rsidRPr="00BA0B56" w:rsidRDefault="00B32AF9" w:rsidP="00D42F4A">
            <w:pPr>
              <w:pStyle w:val="OPZTableText"/>
              <w:rPr>
                <w:sz w:val="20"/>
                <w:szCs w:val="20"/>
              </w:rPr>
            </w:pPr>
            <w:r w:rsidRPr="00BA0B56">
              <w:rPr>
                <w:sz w:val="20"/>
                <w:szCs w:val="20"/>
              </w:rPr>
              <w:t xml:space="preserve">Podklady pre pečatenie / Metodické usmernenie </w:t>
            </w:r>
          </w:p>
        </w:tc>
        <w:tc>
          <w:tcPr>
            <w:tcW w:w="7087" w:type="dxa"/>
            <w:tcBorders>
              <w:top w:val="single" w:sz="4" w:space="0" w:color="auto"/>
              <w:left w:val="single" w:sz="4" w:space="0" w:color="auto"/>
              <w:bottom w:val="single" w:sz="4" w:space="0" w:color="auto"/>
              <w:right w:val="single" w:sz="4" w:space="0" w:color="auto"/>
            </w:tcBorders>
          </w:tcPr>
          <w:p w14:paraId="1624270E" w14:textId="320A2032" w:rsidR="00B32AF9" w:rsidRPr="00BA0B56" w:rsidRDefault="00B32AF9" w:rsidP="00D42F4A">
            <w:pPr>
              <w:pStyle w:val="OPZTableText"/>
              <w:rPr>
                <w:sz w:val="20"/>
                <w:szCs w:val="20"/>
              </w:rPr>
            </w:pPr>
            <w:hyperlink r:id="rId16">
              <w:r w:rsidRPr="00BA0B56">
                <w:rPr>
                  <w:rStyle w:val="Hyperlink"/>
                  <w:sz w:val="20"/>
                  <w:szCs w:val="20"/>
                </w:rPr>
                <w:t>https://www.slovensko.sk/_img/CMS4/metodicke_usmernenia/metodicke_usmernenie_registracia_KSC.pdf</w:t>
              </w:r>
            </w:hyperlink>
          </w:p>
        </w:tc>
      </w:tr>
      <w:tr w:rsidR="00B32AF9" w:rsidRPr="00D42F4A" w14:paraId="05C2DEDE" w14:textId="77777777" w:rsidTr="00E51E00">
        <w:tc>
          <w:tcPr>
            <w:tcW w:w="2122" w:type="dxa"/>
            <w:tcBorders>
              <w:top w:val="single" w:sz="4" w:space="0" w:color="auto"/>
              <w:left w:val="single" w:sz="4" w:space="0" w:color="auto"/>
              <w:bottom w:val="single" w:sz="4" w:space="0" w:color="auto"/>
              <w:right w:val="single" w:sz="4" w:space="0" w:color="auto"/>
            </w:tcBorders>
          </w:tcPr>
          <w:p w14:paraId="7CDD57EC" w14:textId="49E0F4DE" w:rsidR="00B32AF9" w:rsidRPr="00BA0B56" w:rsidRDefault="00B32AF9" w:rsidP="00D42F4A">
            <w:pPr>
              <w:pStyle w:val="OPZTableText"/>
              <w:rPr>
                <w:sz w:val="20"/>
                <w:szCs w:val="20"/>
              </w:rPr>
            </w:pPr>
            <w:hyperlink r:id="rId17" w:history="1">
              <w:r w:rsidRPr="00BA0B56">
                <w:rPr>
                  <w:rStyle w:val="Hyperlink"/>
                  <w:sz w:val="20"/>
                  <w:szCs w:val="20"/>
                </w:rPr>
                <w:t>Pravidlá publikovania elektronických služieb</w:t>
              </w:r>
            </w:hyperlink>
          </w:p>
        </w:tc>
        <w:tc>
          <w:tcPr>
            <w:tcW w:w="7087" w:type="dxa"/>
            <w:tcBorders>
              <w:top w:val="single" w:sz="4" w:space="0" w:color="auto"/>
              <w:left w:val="single" w:sz="4" w:space="0" w:color="auto"/>
              <w:bottom w:val="single" w:sz="4" w:space="0" w:color="auto"/>
              <w:right w:val="single" w:sz="4" w:space="0" w:color="auto"/>
            </w:tcBorders>
          </w:tcPr>
          <w:p w14:paraId="74576FBE" w14:textId="77777777" w:rsidR="00B32AF9" w:rsidRPr="00BA0B56" w:rsidRDefault="00B32AF9" w:rsidP="00D42F4A">
            <w:pPr>
              <w:pStyle w:val="OPZTableText"/>
              <w:rPr>
                <w:sz w:val="20"/>
                <w:szCs w:val="20"/>
              </w:rPr>
            </w:pPr>
            <w:r w:rsidRPr="00BA0B56">
              <w:rPr>
                <w:sz w:val="20"/>
                <w:szCs w:val="20"/>
              </w:rPr>
              <w:t xml:space="preserve">Pravidlá publikovania elektronických služieb do </w:t>
            </w:r>
            <w:proofErr w:type="spellStart"/>
            <w:r w:rsidRPr="00BA0B56">
              <w:rPr>
                <w:sz w:val="20"/>
                <w:szCs w:val="20"/>
              </w:rPr>
              <w:t>multikanálového</w:t>
            </w:r>
            <w:proofErr w:type="spellEnd"/>
            <w:r w:rsidRPr="00BA0B56">
              <w:rPr>
                <w:sz w:val="20"/>
                <w:szCs w:val="20"/>
              </w:rPr>
              <w:t xml:space="preserve"> prostredia verejnej správy </w:t>
            </w:r>
          </w:p>
          <w:p w14:paraId="5282FA22" w14:textId="5966D358" w:rsidR="00B32AF9" w:rsidRPr="00BA0B56" w:rsidRDefault="00B32AF9" w:rsidP="00D42F4A">
            <w:pPr>
              <w:pStyle w:val="OPZTableText"/>
              <w:rPr>
                <w:sz w:val="20"/>
                <w:szCs w:val="20"/>
              </w:rPr>
            </w:pPr>
            <w:hyperlink r:id="rId18" w:history="1">
              <w:r w:rsidRPr="00BA0B56">
                <w:rPr>
                  <w:rStyle w:val="Hyperlink"/>
                  <w:sz w:val="20"/>
                  <w:szCs w:val="20"/>
                </w:rPr>
                <w:t>https://mirri.gov.sk/wp-content/uploads/2018/10/Pravidla_Publikovania_Sluzieb_v1_0-1.pdf</w:t>
              </w:r>
            </w:hyperlink>
            <w:r w:rsidRPr="00BA0B56">
              <w:rPr>
                <w:sz w:val="20"/>
                <w:szCs w:val="20"/>
              </w:rPr>
              <w:t xml:space="preserve"> </w:t>
            </w:r>
          </w:p>
        </w:tc>
      </w:tr>
      <w:tr w:rsidR="00983C6C" w:rsidRPr="00D42F4A" w14:paraId="5292F03C" w14:textId="77777777" w:rsidTr="00E51E00">
        <w:tc>
          <w:tcPr>
            <w:tcW w:w="2122" w:type="dxa"/>
            <w:tcBorders>
              <w:top w:val="single" w:sz="4" w:space="0" w:color="auto"/>
              <w:left w:val="single" w:sz="4" w:space="0" w:color="auto"/>
              <w:bottom w:val="single" w:sz="4" w:space="0" w:color="auto"/>
              <w:right w:val="single" w:sz="4" w:space="0" w:color="auto"/>
            </w:tcBorders>
          </w:tcPr>
          <w:p w14:paraId="12090514" w14:textId="1242113B" w:rsidR="00983C6C" w:rsidRPr="00BA0B56" w:rsidRDefault="00983C6C" w:rsidP="00D42F4A">
            <w:pPr>
              <w:pStyle w:val="OPZTableText"/>
              <w:rPr>
                <w:sz w:val="20"/>
                <w:szCs w:val="20"/>
              </w:rPr>
            </w:pPr>
            <w:proofErr w:type="spellStart"/>
            <w:r w:rsidRPr="00BA0B56">
              <w:rPr>
                <w:sz w:val="20"/>
                <w:szCs w:val="20"/>
              </w:rPr>
              <w:t>Remote</w:t>
            </w:r>
            <w:proofErr w:type="spellEnd"/>
            <w:r w:rsidRPr="00BA0B56">
              <w:rPr>
                <w:sz w:val="20"/>
                <w:szCs w:val="20"/>
              </w:rPr>
              <w:t xml:space="preserve"> </w:t>
            </w:r>
            <w:proofErr w:type="spellStart"/>
            <w:r w:rsidRPr="00BA0B56">
              <w:rPr>
                <w:sz w:val="20"/>
                <w:szCs w:val="20"/>
              </w:rPr>
              <w:t>sealing</w:t>
            </w:r>
            <w:proofErr w:type="spellEnd"/>
            <w:r w:rsidRPr="00BA0B56">
              <w:rPr>
                <w:sz w:val="20"/>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7F148DDA" w14:textId="0B9BC03B" w:rsidR="00983C6C" w:rsidRPr="00BA0B56" w:rsidRDefault="00983C6C" w:rsidP="00D42F4A">
            <w:pPr>
              <w:pStyle w:val="OPZTableText"/>
              <w:rPr>
                <w:sz w:val="20"/>
                <w:szCs w:val="20"/>
              </w:rPr>
            </w:pPr>
            <w:r w:rsidRPr="00BA0B56">
              <w:rPr>
                <w:sz w:val="20"/>
                <w:szCs w:val="20"/>
              </w:rPr>
              <w:t>Pečatenie na diaľku</w:t>
            </w:r>
          </w:p>
        </w:tc>
      </w:tr>
      <w:tr w:rsidR="00983C6C" w:rsidRPr="00D42F4A" w14:paraId="1D903805" w14:textId="77777777" w:rsidTr="00E51E00">
        <w:tc>
          <w:tcPr>
            <w:tcW w:w="2122" w:type="dxa"/>
            <w:tcBorders>
              <w:top w:val="single" w:sz="4" w:space="0" w:color="auto"/>
              <w:left w:val="single" w:sz="4" w:space="0" w:color="auto"/>
              <w:bottom w:val="single" w:sz="4" w:space="0" w:color="auto"/>
              <w:right w:val="single" w:sz="4" w:space="0" w:color="auto"/>
            </w:tcBorders>
            <w:hideMark/>
          </w:tcPr>
          <w:p w14:paraId="1F91B111" w14:textId="59BEC3C4" w:rsidR="00983C6C" w:rsidRPr="00BA0B56" w:rsidRDefault="00983C6C" w:rsidP="00D42F4A">
            <w:pPr>
              <w:pStyle w:val="OPZTableText"/>
              <w:rPr>
                <w:sz w:val="20"/>
                <w:szCs w:val="20"/>
              </w:rPr>
            </w:pPr>
            <w:proofErr w:type="spellStart"/>
            <w:r w:rsidRPr="00BA0B56">
              <w:rPr>
                <w:sz w:val="20"/>
                <w:szCs w:val="20"/>
              </w:rPr>
              <w:t>Representational</w:t>
            </w:r>
            <w:proofErr w:type="spellEnd"/>
            <w:r w:rsidRPr="00BA0B56">
              <w:rPr>
                <w:sz w:val="20"/>
                <w:szCs w:val="20"/>
              </w:rPr>
              <w:t xml:space="preserve"> State Transfer (REST)</w:t>
            </w:r>
          </w:p>
        </w:tc>
        <w:tc>
          <w:tcPr>
            <w:tcW w:w="7087" w:type="dxa"/>
            <w:tcBorders>
              <w:top w:val="single" w:sz="4" w:space="0" w:color="auto"/>
              <w:left w:val="single" w:sz="4" w:space="0" w:color="auto"/>
              <w:bottom w:val="single" w:sz="4" w:space="0" w:color="auto"/>
              <w:right w:val="single" w:sz="4" w:space="0" w:color="auto"/>
            </w:tcBorders>
            <w:hideMark/>
          </w:tcPr>
          <w:p w14:paraId="33429D10" w14:textId="40BE4C09" w:rsidR="00983C6C" w:rsidRPr="00BA0B56" w:rsidRDefault="00983C6C" w:rsidP="00D42F4A">
            <w:pPr>
              <w:pStyle w:val="OPZTableText"/>
              <w:rPr>
                <w:sz w:val="20"/>
                <w:szCs w:val="20"/>
              </w:rPr>
            </w:pPr>
            <w:r w:rsidRPr="00BA0B56">
              <w:rPr>
                <w:sz w:val="20"/>
                <w:szCs w:val="20"/>
              </w:rPr>
              <w:t>Protokol sieťovej komunikácie pri poskytovaní elektronických služieb potrebných na spracovanie elektronických podaní alebo úspešné vyplnenie a</w:t>
            </w:r>
            <w:r w:rsidR="00A33AA7">
              <w:rPr>
                <w:sz w:val="20"/>
                <w:szCs w:val="20"/>
              </w:rPr>
              <w:t> </w:t>
            </w:r>
            <w:r w:rsidRPr="00BA0B56">
              <w:rPr>
                <w:sz w:val="20"/>
                <w:szCs w:val="20"/>
              </w:rPr>
              <w:t xml:space="preserve">prípravu elektronického podania prostredníctvom modulu procesnej integrácie a integrácie údajov podľa Vyhlášky o štandardoch 78/2022, §11, písm. a) </w:t>
            </w:r>
          </w:p>
        </w:tc>
      </w:tr>
      <w:tr w:rsidR="00D42F4A" w:rsidRPr="00D42F4A" w14:paraId="5D0CC2DD" w14:textId="77777777" w:rsidTr="00E51E00">
        <w:tc>
          <w:tcPr>
            <w:tcW w:w="2122" w:type="dxa"/>
            <w:tcBorders>
              <w:top w:val="single" w:sz="4" w:space="0" w:color="auto"/>
              <w:left w:val="single" w:sz="4" w:space="0" w:color="auto"/>
              <w:bottom w:val="single" w:sz="4" w:space="0" w:color="auto"/>
              <w:right w:val="single" w:sz="4" w:space="0" w:color="auto"/>
            </w:tcBorders>
          </w:tcPr>
          <w:p w14:paraId="1A5D887D" w14:textId="66185F73" w:rsidR="00D42F4A" w:rsidRPr="00BA0B56" w:rsidRDefault="00D42F4A" w:rsidP="00D42F4A">
            <w:pPr>
              <w:pStyle w:val="OPZTableText"/>
              <w:rPr>
                <w:sz w:val="20"/>
                <w:szCs w:val="20"/>
              </w:rPr>
            </w:pPr>
            <w:r w:rsidRPr="00BA0B56">
              <w:rPr>
                <w:sz w:val="20"/>
                <w:szCs w:val="20"/>
              </w:rPr>
              <w:t>Špecifikácia “Zjednodušená autorizácia odoslaním podania”</w:t>
            </w:r>
          </w:p>
        </w:tc>
        <w:tc>
          <w:tcPr>
            <w:tcW w:w="7087" w:type="dxa"/>
            <w:tcBorders>
              <w:top w:val="single" w:sz="4" w:space="0" w:color="auto"/>
              <w:left w:val="single" w:sz="4" w:space="0" w:color="auto"/>
              <w:bottom w:val="single" w:sz="4" w:space="0" w:color="auto"/>
              <w:right w:val="single" w:sz="4" w:space="0" w:color="auto"/>
            </w:tcBorders>
          </w:tcPr>
          <w:p w14:paraId="1149F370" w14:textId="7EAEC727" w:rsidR="00D42F4A" w:rsidRPr="00BA0B56" w:rsidRDefault="00D42F4A" w:rsidP="00D42F4A">
            <w:pPr>
              <w:pStyle w:val="OPZTableText"/>
              <w:rPr>
                <w:sz w:val="20"/>
                <w:szCs w:val="20"/>
              </w:rPr>
            </w:pPr>
            <w:r w:rsidRPr="00BA0B56">
              <w:rPr>
                <w:sz w:val="20"/>
                <w:szCs w:val="20"/>
              </w:rPr>
              <w:t xml:space="preserve">Špecifikácia "Zjednodušená autorizácia odoslaním podania - autorizácia použitím na to určenej funkcie prístupového miesta" (autorizácia „klikom“ je dostupná na: </w:t>
            </w:r>
            <w:hyperlink r:id="rId19">
              <w:r w:rsidRPr="00BA0B56">
                <w:rPr>
                  <w:rStyle w:val="Hyperlink"/>
                  <w:sz w:val="20"/>
                  <w:szCs w:val="20"/>
                </w:rPr>
                <w:t>https://metais.vicepremier.gov.sk/dms/file/ff5d0271-8b51-4bcc-fce8-257bb4cee787</w:t>
              </w:r>
            </w:hyperlink>
            <w:r w:rsidR="0086114B">
              <w:rPr>
                <w:rStyle w:val="Hyperlink"/>
                <w:sz w:val="20"/>
                <w:szCs w:val="20"/>
              </w:rPr>
              <w:t xml:space="preserve"> (v prípade nedostupnosti bude poskytnutý dokument na vyžiadanie)</w:t>
            </w:r>
          </w:p>
        </w:tc>
      </w:tr>
    </w:tbl>
    <w:p w14:paraId="0B21761D" w14:textId="77777777" w:rsidR="0060436F" w:rsidRPr="00CB5B66" w:rsidRDefault="0060436F" w:rsidP="00C729A1">
      <w:pPr>
        <w:spacing w:after="160" w:line="254" w:lineRule="auto"/>
        <w:rPr>
          <w:rFonts w:cs="Arial"/>
        </w:rPr>
      </w:pPr>
    </w:p>
    <w:sectPr w:rsidR="0060436F" w:rsidRPr="00CB5B66" w:rsidSect="00E51E00">
      <w:headerReference w:type="default" r:id="rId20"/>
      <w:footerReference w:type="default" r:id="rId21"/>
      <w:pgSz w:w="11906" w:h="16838"/>
      <w:pgMar w:top="2552" w:right="1418" w:bottom="1418" w:left="141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41812" w14:textId="77777777" w:rsidR="00B61BB7" w:rsidRPr="00787D88" w:rsidRDefault="00B61BB7" w:rsidP="00536A8C">
      <w:pPr>
        <w:spacing w:line="240" w:lineRule="auto"/>
      </w:pPr>
      <w:r w:rsidRPr="00787D88">
        <w:separator/>
      </w:r>
    </w:p>
  </w:endnote>
  <w:endnote w:type="continuationSeparator" w:id="0">
    <w:p w14:paraId="3C6223A9" w14:textId="77777777" w:rsidR="00B61BB7" w:rsidRPr="00787D88" w:rsidRDefault="00B61BB7" w:rsidP="00536A8C">
      <w:pPr>
        <w:spacing w:line="240" w:lineRule="auto"/>
      </w:pPr>
      <w:r w:rsidRPr="00787D88">
        <w:continuationSeparator/>
      </w:r>
    </w:p>
  </w:endnote>
  <w:endnote w:type="continuationNotice" w:id="1">
    <w:p w14:paraId="1A789B23" w14:textId="77777777" w:rsidR="00B61BB7" w:rsidRPr="00787D88" w:rsidRDefault="00B61B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1B47B" w14:textId="6FCE6EC6" w:rsidR="008D0308" w:rsidRPr="00787D88" w:rsidRDefault="00B65AC7">
    <w:pPr>
      <w:pStyle w:val="Footer"/>
    </w:pPr>
    <w:r>
      <w:rPr>
        <w:rFonts w:cs="Arial"/>
        <w:sz w:val="17"/>
        <w:szCs w:val="17"/>
      </w:rPr>
      <w:t xml:space="preserve">Centrálna elektronická podateľňa (P1) </w:t>
    </w:r>
    <w:r>
      <w:rPr>
        <w:rFonts w:cs="Arial"/>
        <w:sz w:val="17"/>
        <w:szCs w:val="17"/>
      </w:rPr>
      <w:tab/>
    </w:r>
    <w:r w:rsidR="003B3E47">
      <w:rPr>
        <w:rFonts w:cs="Arial"/>
        <w:sz w:val="17"/>
        <w:szCs w:val="17"/>
      </w:rPr>
      <w:tab/>
    </w:r>
    <w:r w:rsidRPr="00D75EC9">
      <w:rPr>
        <w:rFonts w:cs="Arial"/>
        <w:sz w:val="17"/>
        <w:szCs w:val="17"/>
      </w:rPr>
      <w:t xml:space="preserve">Strana </w:t>
    </w:r>
    <w:r w:rsidRPr="00D75EC9">
      <w:rPr>
        <w:rFonts w:cs="Arial"/>
        <w:sz w:val="17"/>
        <w:szCs w:val="17"/>
      </w:rPr>
      <w:fldChar w:fldCharType="begin"/>
    </w:r>
    <w:r w:rsidRPr="00D75EC9">
      <w:rPr>
        <w:rFonts w:cs="Arial"/>
        <w:sz w:val="17"/>
        <w:szCs w:val="17"/>
      </w:rPr>
      <w:instrText>PAGE  \* Arabic  \* MERGEFORMAT</w:instrText>
    </w:r>
    <w:r w:rsidRPr="00D75EC9">
      <w:rPr>
        <w:rFonts w:cs="Arial"/>
        <w:sz w:val="17"/>
        <w:szCs w:val="17"/>
      </w:rPr>
      <w:fldChar w:fldCharType="separate"/>
    </w:r>
    <w:r>
      <w:rPr>
        <w:rFonts w:cs="Arial"/>
        <w:sz w:val="17"/>
        <w:szCs w:val="17"/>
      </w:rPr>
      <w:t>2</w:t>
    </w:r>
    <w:r w:rsidRPr="00D75EC9">
      <w:rPr>
        <w:rFonts w:cs="Arial"/>
        <w:sz w:val="17"/>
        <w:szCs w:val="17"/>
      </w:rPr>
      <w:fldChar w:fldCharType="end"/>
    </w:r>
    <w:r w:rsidRPr="00D75EC9">
      <w:rPr>
        <w:rFonts w:cs="Arial"/>
        <w:sz w:val="17"/>
        <w:szCs w:val="17"/>
      </w:rPr>
      <w:t xml:space="preserve"> </w:t>
    </w:r>
    <w:r>
      <w:rPr>
        <w:rFonts w:cs="Arial"/>
        <w:sz w:val="17"/>
        <w:szCs w:val="17"/>
      </w:rPr>
      <w:t>/</w:t>
    </w:r>
    <w:r w:rsidRPr="00D75EC9">
      <w:rPr>
        <w:rFonts w:cs="Arial"/>
        <w:sz w:val="17"/>
        <w:szCs w:val="17"/>
      </w:rPr>
      <w:t xml:space="preserve"> </w:t>
    </w:r>
    <w:r w:rsidRPr="00D75EC9">
      <w:rPr>
        <w:rFonts w:cs="Arial"/>
        <w:sz w:val="17"/>
        <w:szCs w:val="17"/>
      </w:rPr>
      <w:fldChar w:fldCharType="begin"/>
    </w:r>
    <w:r w:rsidRPr="00D75EC9">
      <w:rPr>
        <w:rFonts w:cs="Arial"/>
        <w:sz w:val="17"/>
        <w:szCs w:val="17"/>
      </w:rPr>
      <w:instrText>NUMPAGES  \* Arabic  \* MERGEFORMAT</w:instrText>
    </w:r>
    <w:r w:rsidRPr="00D75EC9">
      <w:rPr>
        <w:rFonts w:cs="Arial"/>
        <w:sz w:val="17"/>
        <w:szCs w:val="17"/>
      </w:rPr>
      <w:fldChar w:fldCharType="separate"/>
    </w:r>
    <w:r>
      <w:rPr>
        <w:rFonts w:cs="Arial"/>
        <w:sz w:val="17"/>
        <w:szCs w:val="17"/>
      </w:rPr>
      <w:t>9</w:t>
    </w:r>
    <w:r w:rsidRPr="00D75EC9">
      <w:rPr>
        <w:rFonts w:cs="Arial"/>
        <w:sz w:val="17"/>
        <w:szCs w:val="17"/>
      </w:rPr>
      <w:fldChar w:fldCharType="end"/>
    </w:r>
    <w:r w:rsidR="008D0308" w:rsidRPr="00A32E50">
      <w:rPr>
        <w:noProof/>
        <w:lang w:eastAsia="sk-SK"/>
      </w:rPr>
      <w:drawing>
        <wp:anchor distT="0" distB="0" distL="114300" distR="114300" simplePos="0" relativeHeight="251658241" behindDoc="0" locked="0" layoutInCell="1" allowOverlap="1" wp14:anchorId="7FD6CCCD" wp14:editId="6E7BD306">
          <wp:simplePos x="0" y="0"/>
          <wp:positionH relativeFrom="page">
            <wp:align>right</wp:align>
          </wp:positionH>
          <wp:positionV relativeFrom="paragraph">
            <wp:posOffset>-299417</wp:posOffset>
          </wp:positionV>
          <wp:extent cx="2398763" cy="390994"/>
          <wp:effectExtent l="0" t="0" r="1905" b="9525"/>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lavičkový papier.png"/>
                  <pic:cNvPicPr/>
                </pic:nvPicPr>
                <pic:blipFill rotWithShape="1">
                  <a:blip r:embed="rId1" cstate="print">
                    <a:extLst>
                      <a:ext uri="{28A0092B-C50C-407E-A947-70E740481C1C}">
                        <a14:useLocalDpi xmlns:a14="http://schemas.microsoft.com/office/drawing/2010/main" val="0"/>
                      </a:ext>
                    </a:extLst>
                  </a:blip>
                  <a:srcRect l="2606" t="67499" b="21278"/>
                  <a:stretch/>
                </pic:blipFill>
                <pic:spPr bwMode="auto">
                  <a:xfrm>
                    <a:off x="0" y="0"/>
                    <a:ext cx="2398763" cy="3909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EF40C" w14:textId="77777777" w:rsidR="00B61BB7" w:rsidRPr="00787D88" w:rsidRDefault="00B61BB7" w:rsidP="00536A8C">
      <w:pPr>
        <w:spacing w:line="240" w:lineRule="auto"/>
      </w:pPr>
      <w:r w:rsidRPr="00787D88">
        <w:separator/>
      </w:r>
    </w:p>
  </w:footnote>
  <w:footnote w:type="continuationSeparator" w:id="0">
    <w:p w14:paraId="1C735D51" w14:textId="77777777" w:rsidR="00B61BB7" w:rsidRPr="00787D88" w:rsidRDefault="00B61BB7" w:rsidP="00536A8C">
      <w:pPr>
        <w:spacing w:line="240" w:lineRule="auto"/>
      </w:pPr>
      <w:r w:rsidRPr="00787D88">
        <w:continuationSeparator/>
      </w:r>
    </w:p>
  </w:footnote>
  <w:footnote w:type="continuationNotice" w:id="1">
    <w:p w14:paraId="0CEA9C68" w14:textId="77777777" w:rsidR="00B61BB7" w:rsidRPr="00787D88" w:rsidRDefault="00B61B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FB36B" w14:textId="00BADA69" w:rsidR="00536A8C" w:rsidRPr="00787D88" w:rsidRDefault="008D0308" w:rsidP="00EF7175">
    <w:pPr>
      <w:pStyle w:val="Header"/>
    </w:pPr>
    <w:r w:rsidRPr="00A32E50">
      <w:rPr>
        <w:noProof/>
        <w:lang w:eastAsia="sk-SK"/>
      </w:rPr>
      <w:drawing>
        <wp:anchor distT="0" distB="0" distL="114300" distR="114300" simplePos="0" relativeHeight="251658242" behindDoc="0" locked="0" layoutInCell="1" allowOverlap="1" wp14:anchorId="3D043C84" wp14:editId="66926972">
          <wp:simplePos x="0" y="0"/>
          <wp:positionH relativeFrom="rightMargin">
            <wp:posOffset>-623611</wp:posOffset>
          </wp:positionH>
          <wp:positionV relativeFrom="paragraph">
            <wp:posOffset>-532580</wp:posOffset>
          </wp:positionV>
          <wp:extent cx="1446530" cy="473075"/>
          <wp:effectExtent l="0" t="8573"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lavičkový papier (1).png"/>
                  <pic:cNvPicPr/>
                </pic:nvPicPr>
                <pic:blipFill rotWithShape="1">
                  <a:blip r:embed="rId1" cstate="print">
                    <a:extLst>
                      <a:ext uri="{28A0092B-C50C-407E-A947-70E740481C1C}">
                        <a14:useLocalDpi xmlns:a14="http://schemas.microsoft.com/office/drawing/2010/main" val="0"/>
                      </a:ext>
                    </a:extLst>
                  </a:blip>
                  <a:srcRect l="1" t="36787" r="40207" b="49916"/>
                  <a:stretch/>
                </pic:blipFill>
                <pic:spPr bwMode="auto">
                  <a:xfrm rot="5400000">
                    <a:off x="0" y="0"/>
                    <a:ext cx="1446530" cy="473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6A8C" w:rsidRPr="00A32E50">
      <w:rPr>
        <w:noProof/>
        <w:lang w:eastAsia="sk-SK"/>
      </w:rPr>
      <w:drawing>
        <wp:anchor distT="0" distB="0" distL="114300" distR="114300" simplePos="0" relativeHeight="251658240" behindDoc="1" locked="0" layoutInCell="1" allowOverlap="1" wp14:anchorId="19E41DEC" wp14:editId="5F5CA29A">
          <wp:simplePos x="0" y="0"/>
          <wp:positionH relativeFrom="page">
            <wp:posOffset>464024</wp:posOffset>
          </wp:positionH>
          <wp:positionV relativeFrom="paragraph">
            <wp:posOffset>-436567</wp:posOffset>
          </wp:positionV>
          <wp:extent cx="2592705" cy="1591945"/>
          <wp:effectExtent l="0" t="0" r="0" b="0"/>
          <wp:wrapSquare wrapText="bothSides"/>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ASES_logo.png"/>
                  <pic:cNvPicPr/>
                </pic:nvPicPr>
                <pic:blipFill>
                  <a:blip r:embed="rId2">
                    <a:extLst>
                      <a:ext uri="{28A0092B-C50C-407E-A947-70E740481C1C}">
                        <a14:useLocalDpi xmlns:a14="http://schemas.microsoft.com/office/drawing/2010/main" val="0"/>
                      </a:ext>
                    </a:extLst>
                  </a:blip>
                  <a:stretch>
                    <a:fillRect/>
                  </a:stretch>
                </pic:blipFill>
                <pic:spPr>
                  <a:xfrm>
                    <a:off x="0" y="0"/>
                    <a:ext cx="2592705" cy="1591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79FE8"/>
    <w:multiLevelType w:val="hybridMultilevel"/>
    <w:tmpl w:val="0A6E6A80"/>
    <w:lvl w:ilvl="0" w:tplc="866C5648">
      <w:start w:val="1"/>
      <w:numFmt w:val="decimal"/>
      <w:pStyle w:val="OPZNumbL1"/>
      <w:lvlText w:val="%1)"/>
      <w:lvlJc w:val="left"/>
      <w:pPr>
        <w:ind w:left="720" w:hanging="360"/>
      </w:pPr>
    </w:lvl>
    <w:lvl w:ilvl="1" w:tplc="6BB8F78A">
      <w:start w:val="1"/>
      <w:numFmt w:val="lowerLetter"/>
      <w:lvlText w:val="%2."/>
      <w:lvlJc w:val="left"/>
      <w:pPr>
        <w:ind w:left="1440" w:hanging="360"/>
      </w:pPr>
    </w:lvl>
    <w:lvl w:ilvl="2" w:tplc="ECC038A4">
      <w:start w:val="1"/>
      <w:numFmt w:val="lowerRoman"/>
      <w:lvlText w:val="%3."/>
      <w:lvlJc w:val="right"/>
      <w:pPr>
        <w:ind w:left="2160" w:hanging="180"/>
      </w:pPr>
    </w:lvl>
    <w:lvl w:ilvl="3" w:tplc="3604C3B0">
      <w:start w:val="1"/>
      <w:numFmt w:val="decimal"/>
      <w:lvlText w:val="%4."/>
      <w:lvlJc w:val="left"/>
      <w:pPr>
        <w:ind w:left="2880" w:hanging="360"/>
      </w:pPr>
    </w:lvl>
    <w:lvl w:ilvl="4" w:tplc="D9286640">
      <w:start w:val="1"/>
      <w:numFmt w:val="lowerLetter"/>
      <w:lvlText w:val="%5."/>
      <w:lvlJc w:val="left"/>
      <w:pPr>
        <w:ind w:left="3600" w:hanging="360"/>
      </w:pPr>
    </w:lvl>
    <w:lvl w:ilvl="5" w:tplc="135E5DB0">
      <w:start w:val="1"/>
      <w:numFmt w:val="lowerRoman"/>
      <w:lvlText w:val="%6."/>
      <w:lvlJc w:val="right"/>
      <w:pPr>
        <w:ind w:left="4320" w:hanging="180"/>
      </w:pPr>
    </w:lvl>
    <w:lvl w:ilvl="6" w:tplc="C0982B8A">
      <w:start w:val="1"/>
      <w:numFmt w:val="decimal"/>
      <w:lvlText w:val="%7."/>
      <w:lvlJc w:val="left"/>
      <w:pPr>
        <w:ind w:left="5040" w:hanging="360"/>
      </w:pPr>
    </w:lvl>
    <w:lvl w:ilvl="7" w:tplc="A06004F4">
      <w:start w:val="1"/>
      <w:numFmt w:val="lowerLetter"/>
      <w:lvlText w:val="%8."/>
      <w:lvlJc w:val="left"/>
      <w:pPr>
        <w:ind w:left="5760" w:hanging="360"/>
      </w:pPr>
    </w:lvl>
    <w:lvl w:ilvl="8" w:tplc="5C965026">
      <w:start w:val="1"/>
      <w:numFmt w:val="lowerRoman"/>
      <w:lvlText w:val="%9."/>
      <w:lvlJc w:val="right"/>
      <w:pPr>
        <w:ind w:left="6480" w:hanging="180"/>
      </w:pPr>
    </w:lvl>
  </w:abstractNum>
  <w:abstractNum w:abstractNumId="1" w15:restartNumberingAfterBreak="0">
    <w:nsid w:val="15B90DD0"/>
    <w:multiLevelType w:val="hybridMultilevel"/>
    <w:tmpl w:val="20F84CB2"/>
    <w:lvl w:ilvl="0" w:tplc="39DAB866">
      <w:start w:val="1"/>
      <w:numFmt w:val="bullet"/>
      <w:pStyle w:val="OPZBullet1"/>
      <w:lvlText w:val=""/>
      <w:lvlJc w:val="left"/>
      <w:pPr>
        <w:ind w:left="1437" w:hanging="360"/>
      </w:pPr>
      <w:rPr>
        <w:rFonts w:ascii="Symbol" w:hAnsi="Symbol" w:hint="default"/>
      </w:rPr>
    </w:lvl>
    <w:lvl w:ilvl="1" w:tplc="041B0003">
      <w:start w:val="1"/>
      <w:numFmt w:val="bullet"/>
      <w:lvlText w:val="o"/>
      <w:lvlJc w:val="left"/>
      <w:pPr>
        <w:ind w:left="2157" w:hanging="360"/>
      </w:pPr>
      <w:rPr>
        <w:rFonts w:ascii="Courier New" w:hAnsi="Courier New" w:cs="Courier New" w:hint="default"/>
      </w:rPr>
    </w:lvl>
    <w:lvl w:ilvl="2" w:tplc="041B0005" w:tentative="1">
      <w:start w:val="1"/>
      <w:numFmt w:val="bullet"/>
      <w:lvlText w:val=""/>
      <w:lvlJc w:val="left"/>
      <w:pPr>
        <w:ind w:left="2877" w:hanging="360"/>
      </w:pPr>
      <w:rPr>
        <w:rFonts w:ascii="Wingdings" w:hAnsi="Wingdings" w:hint="default"/>
      </w:rPr>
    </w:lvl>
    <w:lvl w:ilvl="3" w:tplc="041B0001" w:tentative="1">
      <w:start w:val="1"/>
      <w:numFmt w:val="bullet"/>
      <w:lvlText w:val=""/>
      <w:lvlJc w:val="left"/>
      <w:pPr>
        <w:ind w:left="3597" w:hanging="360"/>
      </w:pPr>
      <w:rPr>
        <w:rFonts w:ascii="Symbol" w:hAnsi="Symbol" w:hint="default"/>
      </w:rPr>
    </w:lvl>
    <w:lvl w:ilvl="4" w:tplc="041B0003" w:tentative="1">
      <w:start w:val="1"/>
      <w:numFmt w:val="bullet"/>
      <w:lvlText w:val="o"/>
      <w:lvlJc w:val="left"/>
      <w:pPr>
        <w:ind w:left="4317" w:hanging="360"/>
      </w:pPr>
      <w:rPr>
        <w:rFonts w:ascii="Courier New" w:hAnsi="Courier New" w:cs="Courier New" w:hint="default"/>
      </w:rPr>
    </w:lvl>
    <w:lvl w:ilvl="5" w:tplc="041B0005" w:tentative="1">
      <w:start w:val="1"/>
      <w:numFmt w:val="bullet"/>
      <w:lvlText w:val=""/>
      <w:lvlJc w:val="left"/>
      <w:pPr>
        <w:ind w:left="5037" w:hanging="360"/>
      </w:pPr>
      <w:rPr>
        <w:rFonts w:ascii="Wingdings" w:hAnsi="Wingdings" w:hint="default"/>
      </w:rPr>
    </w:lvl>
    <w:lvl w:ilvl="6" w:tplc="041B0001" w:tentative="1">
      <w:start w:val="1"/>
      <w:numFmt w:val="bullet"/>
      <w:lvlText w:val=""/>
      <w:lvlJc w:val="left"/>
      <w:pPr>
        <w:ind w:left="5757" w:hanging="360"/>
      </w:pPr>
      <w:rPr>
        <w:rFonts w:ascii="Symbol" w:hAnsi="Symbol" w:hint="default"/>
      </w:rPr>
    </w:lvl>
    <w:lvl w:ilvl="7" w:tplc="041B0003" w:tentative="1">
      <w:start w:val="1"/>
      <w:numFmt w:val="bullet"/>
      <w:lvlText w:val="o"/>
      <w:lvlJc w:val="left"/>
      <w:pPr>
        <w:ind w:left="6477" w:hanging="360"/>
      </w:pPr>
      <w:rPr>
        <w:rFonts w:ascii="Courier New" w:hAnsi="Courier New" w:cs="Courier New" w:hint="default"/>
      </w:rPr>
    </w:lvl>
    <w:lvl w:ilvl="8" w:tplc="041B0005" w:tentative="1">
      <w:start w:val="1"/>
      <w:numFmt w:val="bullet"/>
      <w:lvlText w:val=""/>
      <w:lvlJc w:val="left"/>
      <w:pPr>
        <w:ind w:left="7197" w:hanging="360"/>
      </w:pPr>
      <w:rPr>
        <w:rFonts w:ascii="Wingdings" w:hAnsi="Wingdings" w:hint="default"/>
      </w:rPr>
    </w:lvl>
  </w:abstractNum>
  <w:abstractNum w:abstractNumId="2" w15:restartNumberingAfterBreak="0">
    <w:nsid w:val="2D985ACB"/>
    <w:multiLevelType w:val="hybridMultilevel"/>
    <w:tmpl w:val="ADCCFC6E"/>
    <w:lvl w:ilvl="0" w:tplc="4EE039A2">
      <w:start w:val="1"/>
      <w:numFmt w:val="lowerRoman"/>
      <w:pStyle w:val="OPZNumbL3"/>
      <w:lvlText w:val="%1."/>
      <w:lvlJc w:val="right"/>
      <w:pPr>
        <w:ind w:left="1437" w:hanging="360"/>
      </w:pPr>
    </w:lvl>
    <w:lvl w:ilvl="1" w:tplc="041B0019" w:tentative="1">
      <w:start w:val="1"/>
      <w:numFmt w:val="lowerLetter"/>
      <w:lvlText w:val="%2."/>
      <w:lvlJc w:val="left"/>
      <w:pPr>
        <w:ind w:left="2517" w:hanging="360"/>
      </w:pPr>
    </w:lvl>
    <w:lvl w:ilvl="2" w:tplc="041B001B" w:tentative="1">
      <w:start w:val="1"/>
      <w:numFmt w:val="lowerRoman"/>
      <w:lvlText w:val="%3."/>
      <w:lvlJc w:val="right"/>
      <w:pPr>
        <w:ind w:left="3237" w:hanging="180"/>
      </w:pPr>
    </w:lvl>
    <w:lvl w:ilvl="3" w:tplc="041B000F" w:tentative="1">
      <w:start w:val="1"/>
      <w:numFmt w:val="decimal"/>
      <w:lvlText w:val="%4."/>
      <w:lvlJc w:val="left"/>
      <w:pPr>
        <w:ind w:left="3957" w:hanging="360"/>
      </w:pPr>
    </w:lvl>
    <w:lvl w:ilvl="4" w:tplc="041B0019" w:tentative="1">
      <w:start w:val="1"/>
      <w:numFmt w:val="lowerLetter"/>
      <w:lvlText w:val="%5."/>
      <w:lvlJc w:val="left"/>
      <w:pPr>
        <w:ind w:left="4677" w:hanging="360"/>
      </w:pPr>
    </w:lvl>
    <w:lvl w:ilvl="5" w:tplc="041B001B" w:tentative="1">
      <w:start w:val="1"/>
      <w:numFmt w:val="lowerRoman"/>
      <w:lvlText w:val="%6."/>
      <w:lvlJc w:val="right"/>
      <w:pPr>
        <w:ind w:left="5397" w:hanging="180"/>
      </w:pPr>
    </w:lvl>
    <w:lvl w:ilvl="6" w:tplc="041B000F" w:tentative="1">
      <w:start w:val="1"/>
      <w:numFmt w:val="decimal"/>
      <w:lvlText w:val="%7."/>
      <w:lvlJc w:val="left"/>
      <w:pPr>
        <w:ind w:left="6117" w:hanging="360"/>
      </w:pPr>
    </w:lvl>
    <w:lvl w:ilvl="7" w:tplc="041B0019" w:tentative="1">
      <w:start w:val="1"/>
      <w:numFmt w:val="lowerLetter"/>
      <w:lvlText w:val="%8."/>
      <w:lvlJc w:val="left"/>
      <w:pPr>
        <w:ind w:left="6837" w:hanging="360"/>
      </w:pPr>
    </w:lvl>
    <w:lvl w:ilvl="8" w:tplc="041B001B" w:tentative="1">
      <w:start w:val="1"/>
      <w:numFmt w:val="lowerRoman"/>
      <w:lvlText w:val="%9."/>
      <w:lvlJc w:val="right"/>
      <w:pPr>
        <w:ind w:left="7557" w:hanging="180"/>
      </w:pPr>
    </w:lvl>
  </w:abstractNum>
  <w:abstractNum w:abstractNumId="3" w15:restartNumberingAfterBreak="0">
    <w:nsid w:val="5C5B5CBA"/>
    <w:multiLevelType w:val="hybridMultilevel"/>
    <w:tmpl w:val="2C3C8864"/>
    <w:lvl w:ilvl="0" w:tplc="6BFC3B7E">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F840D3E"/>
    <w:multiLevelType w:val="hybridMultilevel"/>
    <w:tmpl w:val="74FAF60C"/>
    <w:lvl w:ilvl="0" w:tplc="041B0011">
      <w:start w:val="1"/>
      <w:numFmt w:val="decimal"/>
      <w:lvlText w:val="%1)"/>
      <w:lvlJc w:val="left"/>
      <w:pPr>
        <w:ind w:left="1060" w:hanging="360"/>
      </w:pPr>
    </w:lvl>
    <w:lvl w:ilvl="1" w:tplc="041B0019" w:tentative="1">
      <w:start w:val="1"/>
      <w:numFmt w:val="lowerLetter"/>
      <w:lvlText w:val="%2."/>
      <w:lvlJc w:val="left"/>
      <w:pPr>
        <w:ind w:left="1780" w:hanging="360"/>
      </w:pPr>
    </w:lvl>
    <w:lvl w:ilvl="2" w:tplc="041B001B" w:tentative="1">
      <w:start w:val="1"/>
      <w:numFmt w:val="lowerRoman"/>
      <w:lvlText w:val="%3."/>
      <w:lvlJc w:val="right"/>
      <w:pPr>
        <w:ind w:left="2500" w:hanging="180"/>
      </w:pPr>
    </w:lvl>
    <w:lvl w:ilvl="3" w:tplc="041B000F" w:tentative="1">
      <w:start w:val="1"/>
      <w:numFmt w:val="decimal"/>
      <w:lvlText w:val="%4."/>
      <w:lvlJc w:val="left"/>
      <w:pPr>
        <w:ind w:left="3220" w:hanging="360"/>
      </w:pPr>
    </w:lvl>
    <w:lvl w:ilvl="4" w:tplc="041B0019" w:tentative="1">
      <w:start w:val="1"/>
      <w:numFmt w:val="lowerLetter"/>
      <w:lvlText w:val="%5."/>
      <w:lvlJc w:val="left"/>
      <w:pPr>
        <w:ind w:left="3940" w:hanging="360"/>
      </w:pPr>
    </w:lvl>
    <w:lvl w:ilvl="5" w:tplc="041B001B" w:tentative="1">
      <w:start w:val="1"/>
      <w:numFmt w:val="lowerRoman"/>
      <w:lvlText w:val="%6."/>
      <w:lvlJc w:val="right"/>
      <w:pPr>
        <w:ind w:left="4660" w:hanging="180"/>
      </w:pPr>
    </w:lvl>
    <w:lvl w:ilvl="6" w:tplc="041B000F" w:tentative="1">
      <w:start w:val="1"/>
      <w:numFmt w:val="decimal"/>
      <w:lvlText w:val="%7."/>
      <w:lvlJc w:val="left"/>
      <w:pPr>
        <w:ind w:left="5380" w:hanging="360"/>
      </w:pPr>
    </w:lvl>
    <w:lvl w:ilvl="7" w:tplc="041B0019" w:tentative="1">
      <w:start w:val="1"/>
      <w:numFmt w:val="lowerLetter"/>
      <w:lvlText w:val="%8."/>
      <w:lvlJc w:val="left"/>
      <w:pPr>
        <w:ind w:left="6100" w:hanging="360"/>
      </w:pPr>
    </w:lvl>
    <w:lvl w:ilvl="8" w:tplc="041B001B" w:tentative="1">
      <w:start w:val="1"/>
      <w:numFmt w:val="lowerRoman"/>
      <w:lvlText w:val="%9."/>
      <w:lvlJc w:val="right"/>
      <w:pPr>
        <w:ind w:left="6820" w:hanging="180"/>
      </w:pPr>
    </w:lvl>
  </w:abstractNum>
  <w:abstractNum w:abstractNumId="5" w15:restartNumberingAfterBreak="0">
    <w:nsid w:val="60183490"/>
    <w:multiLevelType w:val="hybridMultilevel"/>
    <w:tmpl w:val="74FAF60C"/>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6" w15:restartNumberingAfterBreak="0">
    <w:nsid w:val="66F7AB68"/>
    <w:multiLevelType w:val="hybridMultilevel"/>
    <w:tmpl w:val="3DD6AFEA"/>
    <w:lvl w:ilvl="0" w:tplc="C0A29EE0">
      <w:start w:val="1"/>
      <w:numFmt w:val="bullet"/>
      <w:lvlText w:val=""/>
      <w:lvlJc w:val="left"/>
      <w:pPr>
        <w:ind w:left="720" w:hanging="360"/>
      </w:pPr>
      <w:rPr>
        <w:rFonts w:ascii="Symbol" w:hAnsi="Symbol" w:hint="default"/>
      </w:rPr>
    </w:lvl>
    <w:lvl w:ilvl="1" w:tplc="2C9229FA">
      <w:start w:val="1"/>
      <w:numFmt w:val="bullet"/>
      <w:pStyle w:val="OPZBullet2"/>
      <w:lvlText w:val="o"/>
      <w:lvlJc w:val="left"/>
      <w:pPr>
        <w:ind w:left="1440" w:hanging="360"/>
      </w:pPr>
      <w:rPr>
        <w:rFonts w:ascii="Courier New" w:hAnsi="Courier New" w:hint="default"/>
      </w:rPr>
    </w:lvl>
    <w:lvl w:ilvl="2" w:tplc="5D62E534">
      <w:start w:val="1"/>
      <w:numFmt w:val="bullet"/>
      <w:lvlText w:val=""/>
      <w:lvlJc w:val="left"/>
      <w:pPr>
        <w:ind w:left="2160" w:hanging="360"/>
      </w:pPr>
      <w:rPr>
        <w:rFonts w:ascii="Wingdings" w:hAnsi="Wingdings" w:hint="default"/>
      </w:rPr>
    </w:lvl>
    <w:lvl w:ilvl="3" w:tplc="C100CE08">
      <w:start w:val="1"/>
      <w:numFmt w:val="bullet"/>
      <w:lvlText w:val=""/>
      <w:lvlJc w:val="left"/>
      <w:pPr>
        <w:ind w:left="2880" w:hanging="360"/>
      </w:pPr>
      <w:rPr>
        <w:rFonts w:ascii="Symbol" w:hAnsi="Symbol" w:hint="default"/>
      </w:rPr>
    </w:lvl>
    <w:lvl w:ilvl="4" w:tplc="82602460">
      <w:start w:val="1"/>
      <w:numFmt w:val="bullet"/>
      <w:lvlText w:val="o"/>
      <w:lvlJc w:val="left"/>
      <w:pPr>
        <w:ind w:left="3600" w:hanging="360"/>
      </w:pPr>
      <w:rPr>
        <w:rFonts w:ascii="Courier New" w:hAnsi="Courier New" w:hint="default"/>
      </w:rPr>
    </w:lvl>
    <w:lvl w:ilvl="5" w:tplc="DEC4B5DC">
      <w:start w:val="1"/>
      <w:numFmt w:val="bullet"/>
      <w:lvlText w:val=""/>
      <w:lvlJc w:val="left"/>
      <w:pPr>
        <w:ind w:left="4320" w:hanging="360"/>
      </w:pPr>
      <w:rPr>
        <w:rFonts w:ascii="Wingdings" w:hAnsi="Wingdings" w:hint="default"/>
      </w:rPr>
    </w:lvl>
    <w:lvl w:ilvl="6" w:tplc="38E28062">
      <w:start w:val="1"/>
      <w:numFmt w:val="bullet"/>
      <w:lvlText w:val=""/>
      <w:lvlJc w:val="left"/>
      <w:pPr>
        <w:ind w:left="5040" w:hanging="360"/>
      </w:pPr>
      <w:rPr>
        <w:rFonts w:ascii="Symbol" w:hAnsi="Symbol" w:hint="default"/>
      </w:rPr>
    </w:lvl>
    <w:lvl w:ilvl="7" w:tplc="BA04DBEE">
      <w:start w:val="1"/>
      <w:numFmt w:val="bullet"/>
      <w:lvlText w:val="o"/>
      <w:lvlJc w:val="left"/>
      <w:pPr>
        <w:ind w:left="5760" w:hanging="360"/>
      </w:pPr>
      <w:rPr>
        <w:rFonts w:ascii="Courier New" w:hAnsi="Courier New" w:hint="default"/>
      </w:rPr>
    </w:lvl>
    <w:lvl w:ilvl="8" w:tplc="C9322ADE">
      <w:start w:val="1"/>
      <w:numFmt w:val="bullet"/>
      <w:lvlText w:val=""/>
      <w:lvlJc w:val="left"/>
      <w:pPr>
        <w:ind w:left="6480" w:hanging="360"/>
      </w:pPr>
      <w:rPr>
        <w:rFonts w:ascii="Wingdings" w:hAnsi="Wingdings" w:hint="default"/>
      </w:rPr>
    </w:lvl>
  </w:abstractNum>
  <w:abstractNum w:abstractNumId="7" w15:restartNumberingAfterBreak="0">
    <w:nsid w:val="7D7B315C"/>
    <w:multiLevelType w:val="hybridMultilevel"/>
    <w:tmpl w:val="A8205F40"/>
    <w:lvl w:ilvl="0" w:tplc="4DD8E0DC">
      <w:start w:val="1"/>
      <w:numFmt w:val="lowerLetter"/>
      <w:pStyle w:val="OPZNumbL2"/>
      <w:lvlText w:val="%1)"/>
      <w:lvlJc w:val="left"/>
      <w:pPr>
        <w:ind w:left="108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09675865">
    <w:abstractNumId w:val="0"/>
  </w:num>
  <w:num w:numId="2" w16cid:durableId="251743247">
    <w:abstractNumId w:val="2"/>
  </w:num>
  <w:num w:numId="3" w16cid:durableId="1424913899">
    <w:abstractNumId w:val="1"/>
  </w:num>
  <w:num w:numId="4" w16cid:durableId="892159489">
    <w:abstractNumId w:val="6"/>
  </w:num>
  <w:num w:numId="5" w16cid:durableId="656036227">
    <w:abstractNumId w:val="3"/>
  </w:num>
  <w:num w:numId="6" w16cid:durableId="1514537459">
    <w:abstractNumId w:val="7"/>
  </w:num>
  <w:num w:numId="7" w16cid:durableId="2023582188">
    <w:abstractNumId w:val="7"/>
    <w:lvlOverride w:ilvl="0">
      <w:startOverride w:val="1"/>
    </w:lvlOverride>
  </w:num>
  <w:num w:numId="8" w16cid:durableId="535506612">
    <w:abstractNumId w:val="4"/>
  </w:num>
  <w:num w:numId="9" w16cid:durableId="1092975362">
    <w:abstractNumId w:val="5"/>
  </w:num>
  <w:num w:numId="10" w16cid:durableId="28575600">
    <w:abstractNumId w:val="7"/>
    <w:lvlOverride w:ilvl="0">
      <w:startOverride w:val="1"/>
    </w:lvlOverride>
  </w:num>
  <w:num w:numId="11" w16cid:durableId="636035570">
    <w:abstractNumId w:val="7"/>
    <w:lvlOverride w:ilvl="0">
      <w:startOverride w:val="1"/>
    </w:lvlOverride>
  </w:num>
  <w:num w:numId="12" w16cid:durableId="1470629999">
    <w:abstractNumId w:val="7"/>
  </w:num>
  <w:num w:numId="13" w16cid:durableId="399331965">
    <w:abstractNumId w:val="7"/>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8DF"/>
    <w:rsid w:val="0000032B"/>
    <w:rsid w:val="0000042D"/>
    <w:rsid w:val="00004003"/>
    <w:rsid w:val="00004374"/>
    <w:rsid w:val="00005429"/>
    <w:rsid w:val="0000553D"/>
    <w:rsid w:val="000055F0"/>
    <w:rsid w:val="00005975"/>
    <w:rsid w:val="00007753"/>
    <w:rsid w:val="00010E67"/>
    <w:rsid w:val="000111D1"/>
    <w:rsid w:val="000119E7"/>
    <w:rsid w:val="00012FAC"/>
    <w:rsid w:val="0001381F"/>
    <w:rsid w:val="000145EB"/>
    <w:rsid w:val="000146F7"/>
    <w:rsid w:val="00014B89"/>
    <w:rsid w:val="000160FC"/>
    <w:rsid w:val="00017825"/>
    <w:rsid w:val="000208C3"/>
    <w:rsid w:val="00021273"/>
    <w:rsid w:val="0002425B"/>
    <w:rsid w:val="00024D54"/>
    <w:rsid w:val="000265CD"/>
    <w:rsid w:val="000302FB"/>
    <w:rsid w:val="00031773"/>
    <w:rsid w:val="00031CFA"/>
    <w:rsid w:val="00033762"/>
    <w:rsid w:val="000338DE"/>
    <w:rsid w:val="00033B7D"/>
    <w:rsid w:val="000344CD"/>
    <w:rsid w:val="00037F1B"/>
    <w:rsid w:val="00040559"/>
    <w:rsid w:val="00041015"/>
    <w:rsid w:val="00042D03"/>
    <w:rsid w:val="00043B56"/>
    <w:rsid w:val="00043EEC"/>
    <w:rsid w:val="00044172"/>
    <w:rsid w:val="0004657A"/>
    <w:rsid w:val="000472BB"/>
    <w:rsid w:val="000477EE"/>
    <w:rsid w:val="0005203B"/>
    <w:rsid w:val="0005207C"/>
    <w:rsid w:val="00052C14"/>
    <w:rsid w:val="00053413"/>
    <w:rsid w:val="0005565A"/>
    <w:rsid w:val="00056443"/>
    <w:rsid w:val="00061A8D"/>
    <w:rsid w:val="00065092"/>
    <w:rsid w:val="00065947"/>
    <w:rsid w:val="00065B0A"/>
    <w:rsid w:val="00066095"/>
    <w:rsid w:val="000661D5"/>
    <w:rsid w:val="00067DA0"/>
    <w:rsid w:val="000764C4"/>
    <w:rsid w:val="000769F1"/>
    <w:rsid w:val="00076F4B"/>
    <w:rsid w:val="0008022F"/>
    <w:rsid w:val="0008065C"/>
    <w:rsid w:val="00080AD8"/>
    <w:rsid w:val="00080E25"/>
    <w:rsid w:val="000814FA"/>
    <w:rsid w:val="00082587"/>
    <w:rsid w:val="000835D2"/>
    <w:rsid w:val="00084E97"/>
    <w:rsid w:val="00085395"/>
    <w:rsid w:val="0008646F"/>
    <w:rsid w:val="000864E8"/>
    <w:rsid w:val="000903F3"/>
    <w:rsid w:val="00092A9F"/>
    <w:rsid w:val="0009312F"/>
    <w:rsid w:val="0009326A"/>
    <w:rsid w:val="0009409E"/>
    <w:rsid w:val="00096E99"/>
    <w:rsid w:val="000977C2"/>
    <w:rsid w:val="000A04F5"/>
    <w:rsid w:val="000A08C0"/>
    <w:rsid w:val="000A167C"/>
    <w:rsid w:val="000A220B"/>
    <w:rsid w:val="000A3353"/>
    <w:rsid w:val="000A38A9"/>
    <w:rsid w:val="000A4B69"/>
    <w:rsid w:val="000A558C"/>
    <w:rsid w:val="000A737D"/>
    <w:rsid w:val="000A75B1"/>
    <w:rsid w:val="000B0F4A"/>
    <w:rsid w:val="000B1331"/>
    <w:rsid w:val="000B1450"/>
    <w:rsid w:val="000B18BF"/>
    <w:rsid w:val="000B3F93"/>
    <w:rsid w:val="000B4410"/>
    <w:rsid w:val="000B5390"/>
    <w:rsid w:val="000B6922"/>
    <w:rsid w:val="000B73B5"/>
    <w:rsid w:val="000BA934"/>
    <w:rsid w:val="000C0143"/>
    <w:rsid w:val="000C1A9C"/>
    <w:rsid w:val="000C328A"/>
    <w:rsid w:val="000C433F"/>
    <w:rsid w:val="000C50B0"/>
    <w:rsid w:val="000C51B8"/>
    <w:rsid w:val="000C525A"/>
    <w:rsid w:val="000C6457"/>
    <w:rsid w:val="000C65FF"/>
    <w:rsid w:val="000C7513"/>
    <w:rsid w:val="000C7CB0"/>
    <w:rsid w:val="000D0054"/>
    <w:rsid w:val="000D01C2"/>
    <w:rsid w:val="000D02CB"/>
    <w:rsid w:val="000D0F04"/>
    <w:rsid w:val="000D19B7"/>
    <w:rsid w:val="000D3422"/>
    <w:rsid w:val="000D4D02"/>
    <w:rsid w:val="000D77AF"/>
    <w:rsid w:val="000D796F"/>
    <w:rsid w:val="000D7DFF"/>
    <w:rsid w:val="000E1E3B"/>
    <w:rsid w:val="000E1E99"/>
    <w:rsid w:val="000E20F6"/>
    <w:rsid w:val="000E2E7B"/>
    <w:rsid w:val="000E315A"/>
    <w:rsid w:val="000E3F68"/>
    <w:rsid w:val="000E5644"/>
    <w:rsid w:val="000E5E9F"/>
    <w:rsid w:val="000E6477"/>
    <w:rsid w:val="000E6A6A"/>
    <w:rsid w:val="000F03F7"/>
    <w:rsid w:val="000F1EA4"/>
    <w:rsid w:val="000F4B35"/>
    <w:rsid w:val="000F559B"/>
    <w:rsid w:val="000F59C3"/>
    <w:rsid w:val="00105577"/>
    <w:rsid w:val="00105F5C"/>
    <w:rsid w:val="001061CA"/>
    <w:rsid w:val="001062B9"/>
    <w:rsid w:val="00106AE3"/>
    <w:rsid w:val="00106E17"/>
    <w:rsid w:val="00106EFD"/>
    <w:rsid w:val="00106F9A"/>
    <w:rsid w:val="00107C8F"/>
    <w:rsid w:val="001101D1"/>
    <w:rsid w:val="001105DD"/>
    <w:rsid w:val="0011209A"/>
    <w:rsid w:val="0011322C"/>
    <w:rsid w:val="001148A3"/>
    <w:rsid w:val="00114E81"/>
    <w:rsid w:val="001171C6"/>
    <w:rsid w:val="00117E94"/>
    <w:rsid w:val="00120361"/>
    <w:rsid w:val="00121495"/>
    <w:rsid w:val="00121DDD"/>
    <w:rsid w:val="00122186"/>
    <w:rsid w:val="001228CE"/>
    <w:rsid w:val="00123810"/>
    <w:rsid w:val="001241F8"/>
    <w:rsid w:val="001243B0"/>
    <w:rsid w:val="001247A1"/>
    <w:rsid w:val="00125DDB"/>
    <w:rsid w:val="00126B21"/>
    <w:rsid w:val="00127A68"/>
    <w:rsid w:val="001303B0"/>
    <w:rsid w:val="00130B44"/>
    <w:rsid w:val="00130C87"/>
    <w:rsid w:val="00131081"/>
    <w:rsid w:val="001319E5"/>
    <w:rsid w:val="0013271E"/>
    <w:rsid w:val="0013294E"/>
    <w:rsid w:val="00132F53"/>
    <w:rsid w:val="001346A6"/>
    <w:rsid w:val="00135184"/>
    <w:rsid w:val="00135635"/>
    <w:rsid w:val="00135DB1"/>
    <w:rsid w:val="0013622F"/>
    <w:rsid w:val="001368B1"/>
    <w:rsid w:val="00136DDD"/>
    <w:rsid w:val="00140281"/>
    <w:rsid w:val="00140705"/>
    <w:rsid w:val="00141D25"/>
    <w:rsid w:val="00142C55"/>
    <w:rsid w:val="00145905"/>
    <w:rsid w:val="00146AB1"/>
    <w:rsid w:val="00146B88"/>
    <w:rsid w:val="0015067D"/>
    <w:rsid w:val="00150D33"/>
    <w:rsid w:val="00151BF6"/>
    <w:rsid w:val="00152425"/>
    <w:rsid w:val="00152DEF"/>
    <w:rsid w:val="00153305"/>
    <w:rsid w:val="001535F5"/>
    <w:rsid w:val="00154516"/>
    <w:rsid w:val="00154CFE"/>
    <w:rsid w:val="0015743F"/>
    <w:rsid w:val="00157E43"/>
    <w:rsid w:val="00157F79"/>
    <w:rsid w:val="0015F595"/>
    <w:rsid w:val="00160A89"/>
    <w:rsid w:val="00161124"/>
    <w:rsid w:val="00161A54"/>
    <w:rsid w:val="00161C13"/>
    <w:rsid w:val="001621BC"/>
    <w:rsid w:val="00162803"/>
    <w:rsid w:val="00162BBC"/>
    <w:rsid w:val="0016312D"/>
    <w:rsid w:val="00163778"/>
    <w:rsid w:val="00163E70"/>
    <w:rsid w:val="00164194"/>
    <w:rsid w:val="00164870"/>
    <w:rsid w:val="0016531F"/>
    <w:rsid w:val="001675D8"/>
    <w:rsid w:val="00167CDA"/>
    <w:rsid w:val="00167D8F"/>
    <w:rsid w:val="00167FF6"/>
    <w:rsid w:val="001701AE"/>
    <w:rsid w:val="001708FD"/>
    <w:rsid w:val="00171707"/>
    <w:rsid w:val="00171B44"/>
    <w:rsid w:val="001722D9"/>
    <w:rsid w:val="001729A5"/>
    <w:rsid w:val="00172DE0"/>
    <w:rsid w:val="00172FBF"/>
    <w:rsid w:val="0017371E"/>
    <w:rsid w:val="001748B8"/>
    <w:rsid w:val="001752B2"/>
    <w:rsid w:val="00176817"/>
    <w:rsid w:val="00180ACB"/>
    <w:rsid w:val="00180DEE"/>
    <w:rsid w:val="001822D8"/>
    <w:rsid w:val="001837EB"/>
    <w:rsid w:val="00184011"/>
    <w:rsid w:val="0018532C"/>
    <w:rsid w:val="00185460"/>
    <w:rsid w:val="001855CD"/>
    <w:rsid w:val="001865A1"/>
    <w:rsid w:val="00186833"/>
    <w:rsid w:val="00187366"/>
    <w:rsid w:val="001879A0"/>
    <w:rsid w:val="00187E2B"/>
    <w:rsid w:val="00187F53"/>
    <w:rsid w:val="00190123"/>
    <w:rsid w:val="0019201E"/>
    <w:rsid w:val="001941D8"/>
    <w:rsid w:val="00194CA2"/>
    <w:rsid w:val="00194F18"/>
    <w:rsid w:val="001954F0"/>
    <w:rsid w:val="00196374"/>
    <w:rsid w:val="001A041D"/>
    <w:rsid w:val="001A0A69"/>
    <w:rsid w:val="001A0DB2"/>
    <w:rsid w:val="001A1ADF"/>
    <w:rsid w:val="001A2669"/>
    <w:rsid w:val="001A26F6"/>
    <w:rsid w:val="001A3763"/>
    <w:rsid w:val="001A46B8"/>
    <w:rsid w:val="001A6149"/>
    <w:rsid w:val="001A61D1"/>
    <w:rsid w:val="001A61FC"/>
    <w:rsid w:val="001A63B8"/>
    <w:rsid w:val="001A6E61"/>
    <w:rsid w:val="001A6ECD"/>
    <w:rsid w:val="001B04C9"/>
    <w:rsid w:val="001B0CAC"/>
    <w:rsid w:val="001B13BA"/>
    <w:rsid w:val="001B24B4"/>
    <w:rsid w:val="001B2812"/>
    <w:rsid w:val="001B3229"/>
    <w:rsid w:val="001B3995"/>
    <w:rsid w:val="001B44CB"/>
    <w:rsid w:val="001B56FF"/>
    <w:rsid w:val="001B7D7C"/>
    <w:rsid w:val="001C0ED5"/>
    <w:rsid w:val="001C196F"/>
    <w:rsid w:val="001C1D5F"/>
    <w:rsid w:val="001C4246"/>
    <w:rsid w:val="001C4F3C"/>
    <w:rsid w:val="001C579B"/>
    <w:rsid w:val="001C58E6"/>
    <w:rsid w:val="001C5C8C"/>
    <w:rsid w:val="001C5F68"/>
    <w:rsid w:val="001C61EE"/>
    <w:rsid w:val="001C73B6"/>
    <w:rsid w:val="001D081A"/>
    <w:rsid w:val="001D0F5B"/>
    <w:rsid w:val="001D1A46"/>
    <w:rsid w:val="001D1E60"/>
    <w:rsid w:val="001D2150"/>
    <w:rsid w:val="001D5731"/>
    <w:rsid w:val="001D6378"/>
    <w:rsid w:val="001D6533"/>
    <w:rsid w:val="001D7375"/>
    <w:rsid w:val="001D7859"/>
    <w:rsid w:val="001E1182"/>
    <w:rsid w:val="001E3123"/>
    <w:rsid w:val="001E3B0A"/>
    <w:rsid w:val="001E4C57"/>
    <w:rsid w:val="001E669F"/>
    <w:rsid w:val="001E741C"/>
    <w:rsid w:val="001F0D85"/>
    <w:rsid w:val="001F0E8D"/>
    <w:rsid w:val="001F1901"/>
    <w:rsid w:val="001F1E5C"/>
    <w:rsid w:val="001F22F5"/>
    <w:rsid w:val="001F29F9"/>
    <w:rsid w:val="001F2B8D"/>
    <w:rsid w:val="001F2E69"/>
    <w:rsid w:val="001F3AF7"/>
    <w:rsid w:val="001F5056"/>
    <w:rsid w:val="001F79E4"/>
    <w:rsid w:val="0020042B"/>
    <w:rsid w:val="00202D2A"/>
    <w:rsid w:val="002062E0"/>
    <w:rsid w:val="00206EC0"/>
    <w:rsid w:val="00212983"/>
    <w:rsid w:val="002140F7"/>
    <w:rsid w:val="002150E9"/>
    <w:rsid w:val="00217C9F"/>
    <w:rsid w:val="00220A72"/>
    <w:rsid w:val="00221223"/>
    <w:rsid w:val="00221F95"/>
    <w:rsid w:val="00222818"/>
    <w:rsid w:val="00223D74"/>
    <w:rsid w:val="00224ECE"/>
    <w:rsid w:val="00225327"/>
    <w:rsid w:val="0022556D"/>
    <w:rsid w:val="00225760"/>
    <w:rsid w:val="00225EBD"/>
    <w:rsid w:val="00226508"/>
    <w:rsid w:val="00230CDA"/>
    <w:rsid w:val="00234191"/>
    <w:rsid w:val="00234CA1"/>
    <w:rsid w:val="002357E9"/>
    <w:rsid w:val="0023581F"/>
    <w:rsid w:val="00235A65"/>
    <w:rsid w:val="002369B2"/>
    <w:rsid w:val="0023711A"/>
    <w:rsid w:val="00237E4A"/>
    <w:rsid w:val="00240C09"/>
    <w:rsid w:val="00242242"/>
    <w:rsid w:val="00242E59"/>
    <w:rsid w:val="00245E03"/>
    <w:rsid w:val="00247BED"/>
    <w:rsid w:val="00247FAF"/>
    <w:rsid w:val="00251338"/>
    <w:rsid w:val="00252535"/>
    <w:rsid w:val="00255183"/>
    <w:rsid w:val="002555BB"/>
    <w:rsid w:val="00255DAD"/>
    <w:rsid w:val="00256D62"/>
    <w:rsid w:val="002577C9"/>
    <w:rsid w:val="002577CB"/>
    <w:rsid w:val="00262462"/>
    <w:rsid w:val="002632DD"/>
    <w:rsid w:val="00264926"/>
    <w:rsid w:val="00264C43"/>
    <w:rsid w:val="0026545A"/>
    <w:rsid w:val="0026615D"/>
    <w:rsid w:val="00266EB1"/>
    <w:rsid w:val="002703FE"/>
    <w:rsid w:val="00270535"/>
    <w:rsid w:val="002714CB"/>
    <w:rsid w:val="002718D2"/>
    <w:rsid w:val="00271FC1"/>
    <w:rsid w:val="00272C2A"/>
    <w:rsid w:val="002732C6"/>
    <w:rsid w:val="002734DA"/>
    <w:rsid w:val="00274BE4"/>
    <w:rsid w:val="00275157"/>
    <w:rsid w:val="00275F9C"/>
    <w:rsid w:val="002775C9"/>
    <w:rsid w:val="00281587"/>
    <w:rsid w:val="002832DD"/>
    <w:rsid w:val="00285612"/>
    <w:rsid w:val="002856C0"/>
    <w:rsid w:val="00285ED8"/>
    <w:rsid w:val="00287A1C"/>
    <w:rsid w:val="00290186"/>
    <w:rsid w:val="00295245"/>
    <w:rsid w:val="0029562C"/>
    <w:rsid w:val="00296002"/>
    <w:rsid w:val="00296ECC"/>
    <w:rsid w:val="0029792F"/>
    <w:rsid w:val="00297ABA"/>
    <w:rsid w:val="002A0AD9"/>
    <w:rsid w:val="002A16B2"/>
    <w:rsid w:val="002A1ED8"/>
    <w:rsid w:val="002A29AE"/>
    <w:rsid w:val="002A64CF"/>
    <w:rsid w:val="002A72C2"/>
    <w:rsid w:val="002A778E"/>
    <w:rsid w:val="002A7D39"/>
    <w:rsid w:val="002B27D4"/>
    <w:rsid w:val="002B2BA9"/>
    <w:rsid w:val="002B3501"/>
    <w:rsid w:val="002B4CB8"/>
    <w:rsid w:val="002B4E77"/>
    <w:rsid w:val="002B5B65"/>
    <w:rsid w:val="002B5C10"/>
    <w:rsid w:val="002B60BE"/>
    <w:rsid w:val="002B6558"/>
    <w:rsid w:val="002B7EE0"/>
    <w:rsid w:val="002C15F8"/>
    <w:rsid w:val="002C552A"/>
    <w:rsid w:val="002C61C4"/>
    <w:rsid w:val="002C72C9"/>
    <w:rsid w:val="002C7861"/>
    <w:rsid w:val="002C7C6E"/>
    <w:rsid w:val="002D096D"/>
    <w:rsid w:val="002D36CC"/>
    <w:rsid w:val="002D3BD0"/>
    <w:rsid w:val="002D47D3"/>
    <w:rsid w:val="002D51F6"/>
    <w:rsid w:val="002D56E2"/>
    <w:rsid w:val="002D7673"/>
    <w:rsid w:val="002D7E1D"/>
    <w:rsid w:val="002E026B"/>
    <w:rsid w:val="002E2047"/>
    <w:rsid w:val="002E3207"/>
    <w:rsid w:val="002E3F89"/>
    <w:rsid w:val="002E4135"/>
    <w:rsid w:val="002E4CEB"/>
    <w:rsid w:val="002E5326"/>
    <w:rsid w:val="002E55E9"/>
    <w:rsid w:val="002E69A0"/>
    <w:rsid w:val="002E7BD2"/>
    <w:rsid w:val="002F2498"/>
    <w:rsid w:val="002F2773"/>
    <w:rsid w:val="002F3824"/>
    <w:rsid w:val="002F6333"/>
    <w:rsid w:val="002F6731"/>
    <w:rsid w:val="002F690F"/>
    <w:rsid w:val="00300255"/>
    <w:rsid w:val="0030114E"/>
    <w:rsid w:val="00301E4B"/>
    <w:rsid w:val="00304517"/>
    <w:rsid w:val="003047B8"/>
    <w:rsid w:val="0030665D"/>
    <w:rsid w:val="003069B1"/>
    <w:rsid w:val="00307204"/>
    <w:rsid w:val="003106FB"/>
    <w:rsid w:val="003115EC"/>
    <w:rsid w:val="003115FC"/>
    <w:rsid w:val="00313840"/>
    <w:rsid w:val="00313D60"/>
    <w:rsid w:val="003145A9"/>
    <w:rsid w:val="00314BAB"/>
    <w:rsid w:val="00314C1F"/>
    <w:rsid w:val="0031667F"/>
    <w:rsid w:val="00317D79"/>
    <w:rsid w:val="00322407"/>
    <w:rsid w:val="00322674"/>
    <w:rsid w:val="00323B4E"/>
    <w:rsid w:val="00323C04"/>
    <w:rsid w:val="00324E26"/>
    <w:rsid w:val="00324F24"/>
    <w:rsid w:val="00325A85"/>
    <w:rsid w:val="00326375"/>
    <w:rsid w:val="00326BA2"/>
    <w:rsid w:val="003278E8"/>
    <w:rsid w:val="00330034"/>
    <w:rsid w:val="0033022C"/>
    <w:rsid w:val="003320E8"/>
    <w:rsid w:val="003350BE"/>
    <w:rsid w:val="003402CE"/>
    <w:rsid w:val="0034105C"/>
    <w:rsid w:val="00341EE9"/>
    <w:rsid w:val="0034292E"/>
    <w:rsid w:val="00342DE8"/>
    <w:rsid w:val="00343CAA"/>
    <w:rsid w:val="00345FEA"/>
    <w:rsid w:val="003468E3"/>
    <w:rsid w:val="0034691E"/>
    <w:rsid w:val="00350D86"/>
    <w:rsid w:val="003516AC"/>
    <w:rsid w:val="00351B73"/>
    <w:rsid w:val="00352823"/>
    <w:rsid w:val="00354164"/>
    <w:rsid w:val="003548EF"/>
    <w:rsid w:val="00354E28"/>
    <w:rsid w:val="00355E12"/>
    <w:rsid w:val="00355E75"/>
    <w:rsid w:val="0035662A"/>
    <w:rsid w:val="00356696"/>
    <w:rsid w:val="0036126E"/>
    <w:rsid w:val="003648CD"/>
    <w:rsid w:val="00364D16"/>
    <w:rsid w:val="0036521F"/>
    <w:rsid w:val="003653E4"/>
    <w:rsid w:val="00367118"/>
    <w:rsid w:val="00367326"/>
    <w:rsid w:val="003708F9"/>
    <w:rsid w:val="0037392D"/>
    <w:rsid w:val="00375867"/>
    <w:rsid w:val="00376EC5"/>
    <w:rsid w:val="0038053E"/>
    <w:rsid w:val="00381673"/>
    <w:rsid w:val="00381970"/>
    <w:rsid w:val="00383B8D"/>
    <w:rsid w:val="0038496A"/>
    <w:rsid w:val="00384C9F"/>
    <w:rsid w:val="003852DB"/>
    <w:rsid w:val="00385E80"/>
    <w:rsid w:val="003860DB"/>
    <w:rsid w:val="00386535"/>
    <w:rsid w:val="003869AA"/>
    <w:rsid w:val="00390C9A"/>
    <w:rsid w:val="00391030"/>
    <w:rsid w:val="00394606"/>
    <w:rsid w:val="003958DC"/>
    <w:rsid w:val="00397327"/>
    <w:rsid w:val="00397FF2"/>
    <w:rsid w:val="003A027C"/>
    <w:rsid w:val="003A22C6"/>
    <w:rsid w:val="003A2602"/>
    <w:rsid w:val="003A2BE1"/>
    <w:rsid w:val="003A2EE9"/>
    <w:rsid w:val="003A3663"/>
    <w:rsid w:val="003A3A4C"/>
    <w:rsid w:val="003A5FD0"/>
    <w:rsid w:val="003A6B7E"/>
    <w:rsid w:val="003A7DE2"/>
    <w:rsid w:val="003B02A8"/>
    <w:rsid w:val="003B3443"/>
    <w:rsid w:val="003B3E47"/>
    <w:rsid w:val="003B482F"/>
    <w:rsid w:val="003B565D"/>
    <w:rsid w:val="003B57B3"/>
    <w:rsid w:val="003B6CFA"/>
    <w:rsid w:val="003B7216"/>
    <w:rsid w:val="003C2BDF"/>
    <w:rsid w:val="003C471D"/>
    <w:rsid w:val="003C5049"/>
    <w:rsid w:val="003C5F0E"/>
    <w:rsid w:val="003C7AFF"/>
    <w:rsid w:val="003C7CAC"/>
    <w:rsid w:val="003D15B6"/>
    <w:rsid w:val="003D1E3A"/>
    <w:rsid w:val="003D3480"/>
    <w:rsid w:val="003D3F8B"/>
    <w:rsid w:val="003D5EEC"/>
    <w:rsid w:val="003D6967"/>
    <w:rsid w:val="003D7441"/>
    <w:rsid w:val="003E0C48"/>
    <w:rsid w:val="003E2286"/>
    <w:rsid w:val="003E24C5"/>
    <w:rsid w:val="003E32E1"/>
    <w:rsid w:val="003E353C"/>
    <w:rsid w:val="003E4193"/>
    <w:rsid w:val="003E547B"/>
    <w:rsid w:val="003E5E6A"/>
    <w:rsid w:val="003E5ED3"/>
    <w:rsid w:val="003E603A"/>
    <w:rsid w:val="003E656D"/>
    <w:rsid w:val="003E702D"/>
    <w:rsid w:val="003F144B"/>
    <w:rsid w:val="003F1C52"/>
    <w:rsid w:val="003F36D7"/>
    <w:rsid w:val="003F43AB"/>
    <w:rsid w:val="003F6499"/>
    <w:rsid w:val="003F7F0C"/>
    <w:rsid w:val="004008B8"/>
    <w:rsid w:val="00400E15"/>
    <w:rsid w:val="00401C42"/>
    <w:rsid w:val="004054EA"/>
    <w:rsid w:val="00406265"/>
    <w:rsid w:val="0040647F"/>
    <w:rsid w:val="004065C4"/>
    <w:rsid w:val="00407291"/>
    <w:rsid w:val="004072B8"/>
    <w:rsid w:val="004100A5"/>
    <w:rsid w:val="00410300"/>
    <w:rsid w:val="0041058C"/>
    <w:rsid w:val="004116B8"/>
    <w:rsid w:val="004116D0"/>
    <w:rsid w:val="004123AF"/>
    <w:rsid w:val="004131E2"/>
    <w:rsid w:val="0041521E"/>
    <w:rsid w:val="004165F1"/>
    <w:rsid w:val="00417314"/>
    <w:rsid w:val="004177EA"/>
    <w:rsid w:val="00417FF0"/>
    <w:rsid w:val="00420B97"/>
    <w:rsid w:val="00421730"/>
    <w:rsid w:val="00421A3F"/>
    <w:rsid w:val="0042220E"/>
    <w:rsid w:val="00422211"/>
    <w:rsid w:val="004234C9"/>
    <w:rsid w:val="004239E6"/>
    <w:rsid w:val="00427C7C"/>
    <w:rsid w:val="00430928"/>
    <w:rsid w:val="00432723"/>
    <w:rsid w:val="00433BF8"/>
    <w:rsid w:val="00434160"/>
    <w:rsid w:val="004354F0"/>
    <w:rsid w:val="00435CA0"/>
    <w:rsid w:val="00436AA6"/>
    <w:rsid w:val="00436DD9"/>
    <w:rsid w:val="00437372"/>
    <w:rsid w:val="0043767C"/>
    <w:rsid w:val="00437AB3"/>
    <w:rsid w:val="00437C5D"/>
    <w:rsid w:val="004411F3"/>
    <w:rsid w:val="004466F1"/>
    <w:rsid w:val="00446D77"/>
    <w:rsid w:val="00450925"/>
    <w:rsid w:val="00450F49"/>
    <w:rsid w:val="0045131B"/>
    <w:rsid w:val="0045155A"/>
    <w:rsid w:val="00453EEE"/>
    <w:rsid w:val="0045516E"/>
    <w:rsid w:val="004572D8"/>
    <w:rsid w:val="00457455"/>
    <w:rsid w:val="00460C65"/>
    <w:rsid w:val="00461303"/>
    <w:rsid w:val="00461E66"/>
    <w:rsid w:val="00463485"/>
    <w:rsid w:val="00463FBE"/>
    <w:rsid w:val="00463FC1"/>
    <w:rsid w:val="00464474"/>
    <w:rsid w:val="00464508"/>
    <w:rsid w:val="00464A2E"/>
    <w:rsid w:val="00464DA4"/>
    <w:rsid w:val="0046620F"/>
    <w:rsid w:val="00470316"/>
    <w:rsid w:val="00472E03"/>
    <w:rsid w:val="0047380A"/>
    <w:rsid w:val="004750C0"/>
    <w:rsid w:val="00475637"/>
    <w:rsid w:val="00476800"/>
    <w:rsid w:val="00482DA8"/>
    <w:rsid w:val="004831F2"/>
    <w:rsid w:val="0048355B"/>
    <w:rsid w:val="00484B0D"/>
    <w:rsid w:val="00485B3C"/>
    <w:rsid w:val="0048759E"/>
    <w:rsid w:val="00490211"/>
    <w:rsid w:val="004937EE"/>
    <w:rsid w:val="00493F47"/>
    <w:rsid w:val="0049478E"/>
    <w:rsid w:val="004950C6"/>
    <w:rsid w:val="00496BC1"/>
    <w:rsid w:val="00496E03"/>
    <w:rsid w:val="004977B3"/>
    <w:rsid w:val="00497D02"/>
    <w:rsid w:val="004A005A"/>
    <w:rsid w:val="004A0215"/>
    <w:rsid w:val="004A0613"/>
    <w:rsid w:val="004A0E15"/>
    <w:rsid w:val="004A14B9"/>
    <w:rsid w:val="004A2539"/>
    <w:rsid w:val="004A4082"/>
    <w:rsid w:val="004A60B1"/>
    <w:rsid w:val="004A76EF"/>
    <w:rsid w:val="004B006A"/>
    <w:rsid w:val="004B0DFE"/>
    <w:rsid w:val="004B1419"/>
    <w:rsid w:val="004B28FA"/>
    <w:rsid w:val="004B6D8A"/>
    <w:rsid w:val="004C0142"/>
    <w:rsid w:val="004C292C"/>
    <w:rsid w:val="004C396F"/>
    <w:rsid w:val="004C3AE3"/>
    <w:rsid w:val="004C50EA"/>
    <w:rsid w:val="004C5189"/>
    <w:rsid w:val="004C5E38"/>
    <w:rsid w:val="004D110D"/>
    <w:rsid w:val="004D27CF"/>
    <w:rsid w:val="004D2AA2"/>
    <w:rsid w:val="004D3B96"/>
    <w:rsid w:val="004D497E"/>
    <w:rsid w:val="004D4D87"/>
    <w:rsid w:val="004D5A7B"/>
    <w:rsid w:val="004D61C5"/>
    <w:rsid w:val="004D6277"/>
    <w:rsid w:val="004D640B"/>
    <w:rsid w:val="004D6EFB"/>
    <w:rsid w:val="004D7689"/>
    <w:rsid w:val="004D7F64"/>
    <w:rsid w:val="004E0697"/>
    <w:rsid w:val="004E2304"/>
    <w:rsid w:val="004E25B8"/>
    <w:rsid w:val="004E28F8"/>
    <w:rsid w:val="004E3628"/>
    <w:rsid w:val="004E3D41"/>
    <w:rsid w:val="004E51F6"/>
    <w:rsid w:val="004E52DE"/>
    <w:rsid w:val="004E612F"/>
    <w:rsid w:val="004E7F3C"/>
    <w:rsid w:val="004F357A"/>
    <w:rsid w:val="004F6D8E"/>
    <w:rsid w:val="0050049F"/>
    <w:rsid w:val="0050120D"/>
    <w:rsid w:val="00504A34"/>
    <w:rsid w:val="00505143"/>
    <w:rsid w:val="0050562A"/>
    <w:rsid w:val="00506FCA"/>
    <w:rsid w:val="0050718D"/>
    <w:rsid w:val="005100BE"/>
    <w:rsid w:val="00512078"/>
    <w:rsid w:val="005129E2"/>
    <w:rsid w:val="00515673"/>
    <w:rsid w:val="005164A4"/>
    <w:rsid w:val="00516E03"/>
    <w:rsid w:val="00516F24"/>
    <w:rsid w:val="005173A4"/>
    <w:rsid w:val="005179C0"/>
    <w:rsid w:val="00517B6D"/>
    <w:rsid w:val="005202E3"/>
    <w:rsid w:val="00520E8A"/>
    <w:rsid w:val="00522A4C"/>
    <w:rsid w:val="00524562"/>
    <w:rsid w:val="005269E9"/>
    <w:rsid w:val="00527208"/>
    <w:rsid w:val="005303FA"/>
    <w:rsid w:val="00530BFE"/>
    <w:rsid w:val="00531402"/>
    <w:rsid w:val="00531743"/>
    <w:rsid w:val="00531B6E"/>
    <w:rsid w:val="00532217"/>
    <w:rsid w:val="00532FB5"/>
    <w:rsid w:val="005334C4"/>
    <w:rsid w:val="00533C75"/>
    <w:rsid w:val="00533DDB"/>
    <w:rsid w:val="005344EE"/>
    <w:rsid w:val="00535AAB"/>
    <w:rsid w:val="00535AD5"/>
    <w:rsid w:val="005360B0"/>
    <w:rsid w:val="00536A8C"/>
    <w:rsid w:val="00537ABC"/>
    <w:rsid w:val="00541937"/>
    <w:rsid w:val="00541D27"/>
    <w:rsid w:val="0054208D"/>
    <w:rsid w:val="005454AC"/>
    <w:rsid w:val="0054642A"/>
    <w:rsid w:val="0054740E"/>
    <w:rsid w:val="00551B1A"/>
    <w:rsid w:val="00553CB5"/>
    <w:rsid w:val="00555A73"/>
    <w:rsid w:val="00555C11"/>
    <w:rsid w:val="00556664"/>
    <w:rsid w:val="0055759B"/>
    <w:rsid w:val="00561762"/>
    <w:rsid w:val="0056192B"/>
    <w:rsid w:val="00562CCB"/>
    <w:rsid w:val="0056413D"/>
    <w:rsid w:val="00564B06"/>
    <w:rsid w:val="00564C29"/>
    <w:rsid w:val="00566022"/>
    <w:rsid w:val="00570955"/>
    <w:rsid w:val="00571AD6"/>
    <w:rsid w:val="00572C9F"/>
    <w:rsid w:val="0057398D"/>
    <w:rsid w:val="00577B4F"/>
    <w:rsid w:val="00577BAD"/>
    <w:rsid w:val="00577C8D"/>
    <w:rsid w:val="0058317E"/>
    <w:rsid w:val="00585300"/>
    <w:rsid w:val="0058531C"/>
    <w:rsid w:val="00585D47"/>
    <w:rsid w:val="005875CC"/>
    <w:rsid w:val="00590357"/>
    <w:rsid w:val="00591F6C"/>
    <w:rsid w:val="005923F6"/>
    <w:rsid w:val="00593672"/>
    <w:rsid w:val="0059517C"/>
    <w:rsid w:val="00596427"/>
    <w:rsid w:val="005A0CC7"/>
    <w:rsid w:val="005A14AB"/>
    <w:rsid w:val="005A2019"/>
    <w:rsid w:val="005A25D2"/>
    <w:rsid w:val="005A2B09"/>
    <w:rsid w:val="005A51FB"/>
    <w:rsid w:val="005A5308"/>
    <w:rsid w:val="005A5BBC"/>
    <w:rsid w:val="005A5F6C"/>
    <w:rsid w:val="005A6766"/>
    <w:rsid w:val="005A6F3A"/>
    <w:rsid w:val="005A7298"/>
    <w:rsid w:val="005A7BA2"/>
    <w:rsid w:val="005A7C8B"/>
    <w:rsid w:val="005B1BCB"/>
    <w:rsid w:val="005B1EB2"/>
    <w:rsid w:val="005B39D1"/>
    <w:rsid w:val="005B3F97"/>
    <w:rsid w:val="005B5454"/>
    <w:rsid w:val="005B61DF"/>
    <w:rsid w:val="005B65C1"/>
    <w:rsid w:val="005B6EF8"/>
    <w:rsid w:val="005B77CD"/>
    <w:rsid w:val="005C03DA"/>
    <w:rsid w:val="005C213F"/>
    <w:rsid w:val="005C240B"/>
    <w:rsid w:val="005C305A"/>
    <w:rsid w:val="005C4A4B"/>
    <w:rsid w:val="005C4C1D"/>
    <w:rsid w:val="005C74F9"/>
    <w:rsid w:val="005D091D"/>
    <w:rsid w:val="005D17BC"/>
    <w:rsid w:val="005D2BA0"/>
    <w:rsid w:val="005D3AF7"/>
    <w:rsid w:val="005D4464"/>
    <w:rsid w:val="005D45D9"/>
    <w:rsid w:val="005D4C64"/>
    <w:rsid w:val="005D4E2E"/>
    <w:rsid w:val="005D7277"/>
    <w:rsid w:val="005D7372"/>
    <w:rsid w:val="005E0188"/>
    <w:rsid w:val="005E0E6E"/>
    <w:rsid w:val="005E2739"/>
    <w:rsid w:val="005E3ECD"/>
    <w:rsid w:val="005E4AEE"/>
    <w:rsid w:val="005E5957"/>
    <w:rsid w:val="005E59FC"/>
    <w:rsid w:val="005E786D"/>
    <w:rsid w:val="005F0B66"/>
    <w:rsid w:val="005F1CAF"/>
    <w:rsid w:val="005F1E78"/>
    <w:rsid w:val="005F2404"/>
    <w:rsid w:val="005F2561"/>
    <w:rsid w:val="005F2893"/>
    <w:rsid w:val="005F33EF"/>
    <w:rsid w:val="005F5585"/>
    <w:rsid w:val="005F5C6C"/>
    <w:rsid w:val="006007F0"/>
    <w:rsid w:val="00602980"/>
    <w:rsid w:val="006034E2"/>
    <w:rsid w:val="0060372F"/>
    <w:rsid w:val="0060436F"/>
    <w:rsid w:val="006052E3"/>
    <w:rsid w:val="006054D0"/>
    <w:rsid w:val="00606BA5"/>
    <w:rsid w:val="00611E42"/>
    <w:rsid w:val="00612C10"/>
    <w:rsid w:val="006137E3"/>
    <w:rsid w:val="00613A7C"/>
    <w:rsid w:val="00615A01"/>
    <w:rsid w:val="006164A3"/>
    <w:rsid w:val="00620454"/>
    <w:rsid w:val="006218D1"/>
    <w:rsid w:val="00622B14"/>
    <w:rsid w:val="00624E9C"/>
    <w:rsid w:val="00625953"/>
    <w:rsid w:val="00626EEF"/>
    <w:rsid w:val="00630FE0"/>
    <w:rsid w:val="00631C22"/>
    <w:rsid w:val="00632844"/>
    <w:rsid w:val="0063352C"/>
    <w:rsid w:val="00633E43"/>
    <w:rsid w:val="00634109"/>
    <w:rsid w:val="0063416F"/>
    <w:rsid w:val="006349B3"/>
    <w:rsid w:val="00636C41"/>
    <w:rsid w:val="00637BED"/>
    <w:rsid w:val="00637F41"/>
    <w:rsid w:val="0064060E"/>
    <w:rsid w:val="00642AA2"/>
    <w:rsid w:val="006434DC"/>
    <w:rsid w:val="006437F7"/>
    <w:rsid w:val="00643910"/>
    <w:rsid w:val="00645A2D"/>
    <w:rsid w:val="00645B74"/>
    <w:rsid w:val="00645BEB"/>
    <w:rsid w:val="006467DF"/>
    <w:rsid w:val="006470E5"/>
    <w:rsid w:val="0064783B"/>
    <w:rsid w:val="00647E70"/>
    <w:rsid w:val="00650196"/>
    <w:rsid w:val="006511DE"/>
    <w:rsid w:val="006515B8"/>
    <w:rsid w:val="00652907"/>
    <w:rsid w:val="00652DD8"/>
    <w:rsid w:val="006543FB"/>
    <w:rsid w:val="006546CA"/>
    <w:rsid w:val="00654FCE"/>
    <w:rsid w:val="00655BC0"/>
    <w:rsid w:val="00655E3C"/>
    <w:rsid w:val="006560D7"/>
    <w:rsid w:val="00656932"/>
    <w:rsid w:val="00664D54"/>
    <w:rsid w:val="0066632A"/>
    <w:rsid w:val="00666958"/>
    <w:rsid w:val="006674D2"/>
    <w:rsid w:val="00670369"/>
    <w:rsid w:val="006715F6"/>
    <w:rsid w:val="00671AEB"/>
    <w:rsid w:val="00671BE7"/>
    <w:rsid w:val="00671EE4"/>
    <w:rsid w:val="0067252A"/>
    <w:rsid w:val="00676A08"/>
    <w:rsid w:val="00677FA5"/>
    <w:rsid w:val="00682882"/>
    <w:rsid w:val="00682E42"/>
    <w:rsid w:val="0068305E"/>
    <w:rsid w:val="00683BDF"/>
    <w:rsid w:val="00683FC6"/>
    <w:rsid w:val="006846D5"/>
    <w:rsid w:val="00685C8C"/>
    <w:rsid w:val="00690578"/>
    <w:rsid w:val="00690979"/>
    <w:rsid w:val="006913EB"/>
    <w:rsid w:val="0069244A"/>
    <w:rsid w:val="00692720"/>
    <w:rsid w:val="00694CFC"/>
    <w:rsid w:val="00695215"/>
    <w:rsid w:val="006978B9"/>
    <w:rsid w:val="00697EB4"/>
    <w:rsid w:val="0069A215"/>
    <w:rsid w:val="006A078A"/>
    <w:rsid w:val="006A0A88"/>
    <w:rsid w:val="006A1533"/>
    <w:rsid w:val="006A1574"/>
    <w:rsid w:val="006A3BC2"/>
    <w:rsid w:val="006A4585"/>
    <w:rsid w:val="006A487D"/>
    <w:rsid w:val="006A5676"/>
    <w:rsid w:val="006A5FD8"/>
    <w:rsid w:val="006A64FC"/>
    <w:rsid w:val="006A68E1"/>
    <w:rsid w:val="006A719A"/>
    <w:rsid w:val="006A74CB"/>
    <w:rsid w:val="006A7B1E"/>
    <w:rsid w:val="006B1C77"/>
    <w:rsid w:val="006B1D0C"/>
    <w:rsid w:val="006B2EB7"/>
    <w:rsid w:val="006B2ECD"/>
    <w:rsid w:val="006B326B"/>
    <w:rsid w:val="006B4308"/>
    <w:rsid w:val="006B4387"/>
    <w:rsid w:val="006B4578"/>
    <w:rsid w:val="006B5EBC"/>
    <w:rsid w:val="006C0694"/>
    <w:rsid w:val="006C0D84"/>
    <w:rsid w:val="006C1D9C"/>
    <w:rsid w:val="006C311B"/>
    <w:rsid w:val="006C354D"/>
    <w:rsid w:val="006C3EFC"/>
    <w:rsid w:val="006C45B9"/>
    <w:rsid w:val="006C47A9"/>
    <w:rsid w:val="006C52C0"/>
    <w:rsid w:val="006C6634"/>
    <w:rsid w:val="006C70DB"/>
    <w:rsid w:val="006C7D47"/>
    <w:rsid w:val="006D092D"/>
    <w:rsid w:val="006D1639"/>
    <w:rsid w:val="006D1F18"/>
    <w:rsid w:val="006D2FC8"/>
    <w:rsid w:val="006D36F8"/>
    <w:rsid w:val="006D4011"/>
    <w:rsid w:val="006D422A"/>
    <w:rsid w:val="006D44E7"/>
    <w:rsid w:val="006D4835"/>
    <w:rsid w:val="006D4D3E"/>
    <w:rsid w:val="006D4E16"/>
    <w:rsid w:val="006D5056"/>
    <w:rsid w:val="006D60E5"/>
    <w:rsid w:val="006D6B04"/>
    <w:rsid w:val="006D6BED"/>
    <w:rsid w:val="006D7BDC"/>
    <w:rsid w:val="006E511F"/>
    <w:rsid w:val="006E607F"/>
    <w:rsid w:val="006E65FC"/>
    <w:rsid w:val="006E7160"/>
    <w:rsid w:val="006E776C"/>
    <w:rsid w:val="006E7BBA"/>
    <w:rsid w:val="006F042D"/>
    <w:rsid w:val="006F0C63"/>
    <w:rsid w:val="006F12FD"/>
    <w:rsid w:val="006F22A4"/>
    <w:rsid w:val="006F2651"/>
    <w:rsid w:val="006F26E0"/>
    <w:rsid w:val="006F43E7"/>
    <w:rsid w:val="006F4441"/>
    <w:rsid w:val="006F4525"/>
    <w:rsid w:val="006F4EC8"/>
    <w:rsid w:val="006F6645"/>
    <w:rsid w:val="007002CE"/>
    <w:rsid w:val="0070072B"/>
    <w:rsid w:val="00700993"/>
    <w:rsid w:val="00700F12"/>
    <w:rsid w:val="00701581"/>
    <w:rsid w:val="0070287B"/>
    <w:rsid w:val="00702883"/>
    <w:rsid w:val="007028FA"/>
    <w:rsid w:val="00704E46"/>
    <w:rsid w:val="00705B68"/>
    <w:rsid w:val="00705D81"/>
    <w:rsid w:val="00706737"/>
    <w:rsid w:val="007073E7"/>
    <w:rsid w:val="00707E14"/>
    <w:rsid w:val="00710BED"/>
    <w:rsid w:val="007118FD"/>
    <w:rsid w:val="00711977"/>
    <w:rsid w:val="00712920"/>
    <w:rsid w:val="007134C8"/>
    <w:rsid w:val="0071431C"/>
    <w:rsid w:val="00714612"/>
    <w:rsid w:val="00714999"/>
    <w:rsid w:val="00714AE9"/>
    <w:rsid w:val="0071556E"/>
    <w:rsid w:val="00717488"/>
    <w:rsid w:val="007203EB"/>
    <w:rsid w:val="00722271"/>
    <w:rsid w:val="00722576"/>
    <w:rsid w:val="00725E31"/>
    <w:rsid w:val="007306A0"/>
    <w:rsid w:val="007308C3"/>
    <w:rsid w:val="00731D79"/>
    <w:rsid w:val="00731F6C"/>
    <w:rsid w:val="00732308"/>
    <w:rsid w:val="0073277A"/>
    <w:rsid w:val="00733FB0"/>
    <w:rsid w:val="0073497A"/>
    <w:rsid w:val="00735164"/>
    <w:rsid w:val="0073522E"/>
    <w:rsid w:val="00735B96"/>
    <w:rsid w:val="00735E55"/>
    <w:rsid w:val="00736C3C"/>
    <w:rsid w:val="00736D35"/>
    <w:rsid w:val="00737892"/>
    <w:rsid w:val="0074093C"/>
    <w:rsid w:val="007416EF"/>
    <w:rsid w:val="00741770"/>
    <w:rsid w:val="00742C5F"/>
    <w:rsid w:val="0074418A"/>
    <w:rsid w:val="007457AF"/>
    <w:rsid w:val="00745A70"/>
    <w:rsid w:val="00746507"/>
    <w:rsid w:val="00746683"/>
    <w:rsid w:val="00746E50"/>
    <w:rsid w:val="0074707E"/>
    <w:rsid w:val="0074777B"/>
    <w:rsid w:val="00747FE9"/>
    <w:rsid w:val="007500C0"/>
    <w:rsid w:val="00752D0A"/>
    <w:rsid w:val="0075478F"/>
    <w:rsid w:val="00754E32"/>
    <w:rsid w:val="0075632C"/>
    <w:rsid w:val="00756438"/>
    <w:rsid w:val="00756B7D"/>
    <w:rsid w:val="00760245"/>
    <w:rsid w:val="00760CCA"/>
    <w:rsid w:val="00760F95"/>
    <w:rsid w:val="00761FBC"/>
    <w:rsid w:val="00763C48"/>
    <w:rsid w:val="007656E0"/>
    <w:rsid w:val="0076591C"/>
    <w:rsid w:val="0076647F"/>
    <w:rsid w:val="007670AA"/>
    <w:rsid w:val="00767B0B"/>
    <w:rsid w:val="00771485"/>
    <w:rsid w:val="00774EFA"/>
    <w:rsid w:val="007750E3"/>
    <w:rsid w:val="00775E57"/>
    <w:rsid w:val="00776F08"/>
    <w:rsid w:val="00782185"/>
    <w:rsid w:val="007829A3"/>
    <w:rsid w:val="0078302F"/>
    <w:rsid w:val="0078344B"/>
    <w:rsid w:val="007871B2"/>
    <w:rsid w:val="00787B22"/>
    <w:rsid w:val="00787D88"/>
    <w:rsid w:val="00787E04"/>
    <w:rsid w:val="00787EDA"/>
    <w:rsid w:val="0079008E"/>
    <w:rsid w:val="00790D4B"/>
    <w:rsid w:val="007930B9"/>
    <w:rsid w:val="007A00E1"/>
    <w:rsid w:val="007A18AB"/>
    <w:rsid w:val="007A1BE7"/>
    <w:rsid w:val="007A22E1"/>
    <w:rsid w:val="007A239B"/>
    <w:rsid w:val="007A404F"/>
    <w:rsid w:val="007A52A4"/>
    <w:rsid w:val="007A6442"/>
    <w:rsid w:val="007A71A1"/>
    <w:rsid w:val="007B088F"/>
    <w:rsid w:val="007B134E"/>
    <w:rsid w:val="007B1529"/>
    <w:rsid w:val="007B21CE"/>
    <w:rsid w:val="007B2C11"/>
    <w:rsid w:val="007B3446"/>
    <w:rsid w:val="007B5552"/>
    <w:rsid w:val="007B586B"/>
    <w:rsid w:val="007C31F8"/>
    <w:rsid w:val="007C55A9"/>
    <w:rsid w:val="007C6209"/>
    <w:rsid w:val="007D1052"/>
    <w:rsid w:val="007D2C7A"/>
    <w:rsid w:val="007D3D98"/>
    <w:rsid w:val="007D4754"/>
    <w:rsid w:val="007D478A"/>
    <w:rsid w:val="007D4B47"/>
    <w:rsid w:val="007D52A0"/>
    <w:rsid w:val="007D60BD"/>
    <w:rsid w:val="007D643B"/>
    <w:rsid w:val="007D6539"/>
    <w:rsid w:val="007D6DBD"/>
    <w:rsid w:val="007D7711"/>
    <w:rsid w:val="007D7C0B"/>
    <w:rsid w:val="007D7E0D"/>
    <w:rsid w:val="007E1376"/>
    <w:rsid w:val="007E259E"/>
    <w:rsid w:val="007E3CEE"/>
    <w:rsid w:val="007E645D"/>
    <w:rsid w:val="007E6A4F"/>
    <w:rsid w:val="007F060B"/>
    <w:rsid w:val="007F070A"/>
    <w:rsid w:val="007F0789"/>
    <w:rsid w:val="007F1183"/>
    <w:rsid w:val="007F18F7"/>
    <w:rsid w:val="007F28DF"/>
    <w:rsid w:val="007F3592"/>
    <w:rsid w:val="007F3F44"/>
    <w:rsid w:val="007F4DFC"/>
    <w:rsid w:val="007F5012"/>
    <w:rsid w:val="007F551C"/>
    <w:rsid w:val="007F55A7"/>
    <w:rsid w:val="007F56DE"/>
    <w:rsid w:val="007F7F55"/>
    <w:rsid w:val="008009CD"/>
    <w:rsid w:val="00800D73"/>
    <w:rsid w:val="0080242B"/>
    <w:rsid w:val="00802D2D"/>
    <w:rsid w:val="00803938"/>
    <w:rsid w:val="00805A74"/>
    <w:rsid w:val="00807769"/>
    <w:rsid w:val="008102CB"/>
    <w:rsid w:val="00811A26"/>
    <w:rsid w:val="00812847"/>
    <w:rsid w:val="00815315"/>
    <w:rsid w:val="00815613"/>
    <w:rsid w:val="00820BE5"/>
    <w:rsid w:val="0082326D"/>
    <w:rsid w:val="0082360F"/>
    <w:rsid w:val="008250F4"/>
    <w:rsid w:val="00825157"/>
    <w:rsid w:val="00825288"/>
    <w:rsid w:val="00825B16"/>
    <w:rsid w:val="00827370"/>
    <w:rsid w:val="00830122"/>
    <w:rsid w:val="008316AD"/>
    <w:rsid w:val="00831E96"/>
    <w:rsid w:val="00833758"/>
    <w:rsid w:val="00836354"/>
    <w:rsid w:val="008370A5"/>
    <w:rsid w:val="00840C06"/>
    <w:rsid w:val="008410A8"/>
    <w:rsid w:val="00841E07"/>
    <w:rsid w:val="008423FF"/>
    <w:rsid w:val="008427E4"/>
    <w:rsid w:val="00842D08"/>
    <w:rsid w:val="00842E07"/>
    <w:rsid w:val="00842EB5"/>
    <w:rsid w:val="008432A3"/>
    <w:rsid w:val="00845D46"/>
    <w:rsid w:val="008501B8"/>
    <w:rsid w:val="00850BF3"/>
    <w:rsid w:val="00850D03"/>
    <w:rsid w:val="00851AFE"/>
    <w:rsid w:val="00851C09"/>
    <w:rsid w:val="00852C1C"/>
    <w:rsid w:val="008535D8"/>
    <w:rsid w:val="008538BB"/>
    <w:rsid w:val="00853BD5"/>
    <w:rsid w:val="00853F61"/>
    <w:rsid w:val="00854298"/>
    <w:rsid w:val="0085645B"/>
    <w:rsid w:val="00861002"/>
    <w:rsid w:val="0086114B"/>
    <w:rsid w:val="00863380"/>
    <w:rsid w:val="008633F7"/>
    <w:rsid w:val="00863541"/>
    <w:rsid w:val="00863FA7"/>
    <w:rsid w:val="008640DB"/>
    <w:rsid w:val="00865E40"/>
    <w:rsid w:val="0086611B"/>
    <w:rsid w:val="00866FC8"/>
    <w:rsid w:val="00870347"/>
    <w:rsid w:val="00870955"/>
    <w:rsid w:val="008715B5"/>
    <w:rsid w:val="008720F4"/>
    <w:rsid w:val="00872948"/>
    <w:rsid w:val="00875C8D"/>
    <w:rsid w:val="00876A7B"/>
    <w:rsid w:val="00881B89"/>
    <w:rsid w:val="00882FB2"/>
    <w:rsid w:val="008838AC"/>
    <w:rsid w:val="008854FA"/>
    <w:rsid w:val="00885F77"/>
    <w:rsid w:val="00887538"/>
    <w:rsid w:val="00890037"/>
    <w:rsid w:val="00891B46"/>
    <w:rsid w:val="00894D45"/>
    <w:rsid w:val="00894E08"/>
    <w:rsid w:val="00895BF9"/>
    <w:rsid w:val="00896004"/>
    <w:rsid w:val="00896FA9"/>
    <w:rsid w:val="00897F71"/>
    <w:rsid w:val="008A3830"/>
    <w:rsid w:val="008A49DD"/>
    <w:rsid w:val="008A4F3B"/>
    <w:rsid w:val="008A67D0"/>
    <w:rsid w:val="008A6A06"/>
    <w:rsid w:val="008A6FC2"/>
    <w:rsid w:val="008B041E"/>
    <w:rsid w:val="008B067B"/>
    <w:rsid w:val="008B0903"/>
    <w:rsid w:val="008B0970"/>
    <w:rsid w:val="008B0F72"/>
    <w:rsid w:val="008B1398"/>
    <w:rsid w:val="008B21B6"/>
    <w:rsid w:val="008B225B"/>
    <w:rsid w:val="008B25FB"/>
    <w:rsid w:val="008B31C8"/>
    <w:rsid w:val="008B3BA4"/>
    <w:rsid w:val="008B706C"/>
    <w:rsid w:val="008C01D9"/>
    <w:rsid w:val="008C1893"/>
    <w:rsid w:val="008C1CE5"/>
    <w:rsid w:val="008C33F6"/>
    <w:rsid w:val="008C4A51"/>
    <w:rsid w:val="008C60EB"/>
    <w:rsid w:val="008C6646"/>
    <w:rsid w:val="008C7194"/>
    <w:rsid w:val="008C7A93"/>
    <w:rsid w:val="008D0308"/>
    <w:rsid w:val="008D049C"/>
    <w:rsid w:val="008D1B75"/>
    <w:rsid w:val="008D1C69"/>
    <w:rsid w:val="008D2306"/>
    <w:rsid w:val="008D2689"/>
    <w:rsid w:val="008D2DCC"/>
    <w:rsid w:val="008D5BC0"/>
    <w:rsid w:val="008D66FD"/>
    <w:rsid w:val="008D78D6"/>
    <w:rsid w:val="008D7B7B"/>
    <w:rsid w:val="008E1118"/>
    <w:rsid w:val="008E183C"/>
    <w:rsid w:val="008E205B"/>
    <w:rsid w:val="008E21BC"/>
    <w:rsid w:val="008E4D44"/>
    <w:rsid w:val="008E6295"/>
    <w:rsid w:val="008E6456"/>
    <w:rsid w:val="008E64A9"/>
    <w:rsid w:val="008E6C02"/>
    <w:rsid w:val="008E71F2"/>
    <w:rsid w:val="008E756F"/>
    <w:rsid w:val="008E7DB6"/>
    <w:rsid w:val="008F28C6"/>
    <w:rsid w:val="008F5847"/>
    <w:rsid w:val="008F5B81"/>
    <w:rsid w:val="008F6357"/>
    <w:rsid w:val="008F7670"/>
    <w:rsid w:val="0090080F"/>
    <w:rsid w:val="00900978"/>
    <w:rsid w:val="00901DF9"/>
    <w:rsid w:val="0090232F"/>
    <w:rsid w:val="0090412D"/>
    <w:rsid w:val="009045F2"/>
    <w:rsid w:val="00904A56"/>
    <w:rsid w:val="00904B5D"/>
    <w:rsid w:val="00907731"/>
    <w:rsid w:val="0090787A"/>
    <w:rsid w:val="009104D6"/>
    <w:rsid w:val="00910D0A"/>
    <w:rsid w:val="00911645"/>
    <w:rsid w:val="00911FCC"/>
    <w:rsid w:val="00912655"/>
    <w:rsid w:val="009130AC"/>
    <w:rsid w:val="00913E1C"/>
    <w:rsid w:val="009144C2"/>
    <w:rsid w:val="009176F6"/>
    <w:rsid w:val="009210CA"/>
    <w:rsid w:val="00921AAF"/>
    <w:rsid w:val="00922263"/>
    <w:rsid w:val="0092367E"/>
    <w:rsid w:val="00925294"/>
    <w:rsid w:val="00926D0D"/>
    <w:rsid w:val="0092705C"/>
    <w:rsid w:val="00927678"/>
    <w:rsid w:val="00930169"/>
    <w:rsid w:val="00930192"/>
    <w:rsid w:val="00931852"/>
    <w:rsid w:val="009321E7"/>
    <w:rsid w:val="00932399"/>
    <w:rsid w:val="0093294D"/>
    <w:rsid w:val="00934504"/>
    <w:rsid w:val="0093588D"/>
    <w:rsid w:val="00936F7D"/>
    <w:rsid w:val="00941C4B"/>
    <w:rsid w:val="00942F55"/>
    <w:rsid w:val="009446B0"/>
    <w:rsid w:val="0094551C"/>
    <w:rsid w:val="00946D9C"/>
    <w:rsid w:val="009502AE"/>
    <w:rsid w:val="00951956"/>
    <w:rsid w:val="00951AB2"/>
    <w:rsid w:val="00951ED8"/>
    <w:rsid w:val="0095220A"/>
    <w:rsid w:val="00952636"/>
    <w:rsid w:val="00953A43"/>
    <w:rsid w:val="00955194"/>
    <w:rsid w:val="00955AAE"/>
    <w:rsid w:val="009573A0"/>
    <w:rsid w:val="009608BD"/>
    <w:rsid w:val="00961DA3"/>
    <w:rsid w:val="009621F0"/>
    <w:rsid w:val="00962FF0"/>
    <w:rsid w:val="009645DE"/>
    <w:rsid w:val="00965FFE"/>
    <w:rsid w:val="009665BF"/>
    <w:rsid w:val="009669C6"/>
    <w:rsid w:val="009673D4"/>
    <w:rsid w:val="00970A33"/>
    <w:rsid w:val="0097109D"/>
    <w:rsid w:val="00971221"/>
    <w:rsid w:val="009735B6"/>
    <w:rsid w:val="00973AAF"/>
    <w:rsid w:val="00973ACF"/>
    <w:rsid w:val="00975CD3"/>
    <w:rsid w:val="0098003B"/>
    <w:rsid w:val="00980682"/>
    <w:rsid w:val="0098238C"/>
    <w:rsid w:val="00983633"/>
    <w:rsid w:val="00983C6C"/>
    <w:rsid w:val="0098471E"/>
    <w:rsid w:val="00985667"/>
    <w:rsid w:val="0098682D"/>
    <w:rsid w:val="0099060C"/>
    <w:rsid w:val="009906CE"/>
    <w:rsid w:val="00992B64"/>
    <w:rsid w:val="00994423"/>
    <w:rsid w:val="009947F7"/>
    <w:rsid w:val="00994CB9"/>
    <w:rsid w:val="00994F94"/>
    <w:rsid w:val="0099529F"/>
    <w:rsid w:val="00995AD0"/>
    <w:rsid w:val="00995C07"/>
    <w:rsid w:val="0099608D"/>
    <w:rsid w:val="00997331"/>
    <w:rsid w:val="0099786B"/>
    <w:rsid w:val="00997CDD"/>
    <w:rsid w:val="009A2144"/>
    <w:rsid w:val="009A3274"/>
    <w:rsid w:val="009A38F9"/>
    <w:rsid w:val="009A4544"/>
    <w:rsid w:val="009A5C28"/>
    <w:rsid w:val="009A6E08"/>
    <w:rsid w:val="009B1544"/>
    <w:rsid w:val="009B191A"/>
    <w:rsid w:val="009B2085"/>
    <w:rsid w:val="009B21F7"/>
    <w:rsid w:val="009B2FD2"/>
    <w:rsid w:val="009B3608"/>
    <w:rsid w:val="009B3DDE"/>
    <w:rsid w:val="009B4D95"/>
    <w:rsid w:val="009B4FC9"/>
    <w:rsid w:val="009B7355"/>
    <w:rsid w:val="009B77C6"/>
    <w:rsid w:val="009C113F"/>
    <w:rsid w:val="009C1394"/>
    <w:rsid w:val="009C3C6B"/>
    <w:rsid w:val="009C4801"/>
    <w:rsid w:val="009C486A"/>
    <w:rsid w:val="009C650F"/>
    <w:rsid w:val="009C7DC2"/>
    <w:rsid w:val="009C7DFA"/>
    <w:rsid w:val="009D12C3"/>
    <w:rsid w:val="009D2CB1"/>
    <w:rsid w:val="009D482F"/>
    <w:rsid w:val="009D4BB2"/>
    <w:rsid w:val="009D4F21"/>
    <w:rsid w:val="009D60BD"/>
    <w:rsid w:val="009E3CE9"/>
    <w:rsid w:val="009E4AA0"/>
    <w:rsid w:val="009E56F1"/>
    <w:rsid w:val="009E6450"/>
    <w:rsid w:val="009E681F"/>
    <w:rsid w:val="009E7199"/>
    <w:rsid w:val="009E71D1"/>
    <w:rsid w:val="009E7293"/>
    <w:rsid w:val="009F3873"/>
    <w:rsid w:val="009F3A38"/>
    <w:rsid w:val="009F3C95"/>
    <w:rsid w:val="009F499A"/>
    <w:rsid w:val="009F4ECA"/>
    <w:rsid w:val="009F696D"/>
    <w:rsid w:val="009F6A4B"/>
    <w:rsid w:val="00A00E34"/>
    <w:rsid w:val="00A00E6C"/>
    <w:rsid w:val="00A0258B"/>
    <w:rsid w:val="00A03D3F"/>
    <w:rsid w:val="00A04069"/>
    <w:rsid w:val="00A04272"/>
    <w:rsid w:val="00A042C4"/>
    <w:rsid w:val="00A05C03"/>
    <w:rsid w:val="00A06066"/>
    <w:rsid w:val="00A0669C"/>
    <w:rsid w:val="00A06A7F"/>
    <w:rsid w:val="00A06AA9"/>
    <w:rsid w:val="00A0757B"/>
    <w:rsid w:val="00A07D89"/>
    <w:rsid w:val="00A10941"/>
    <w:rsid w:val="00A10B0A"/>
    <w:rsid w:val="00A117B2"/>
    <w:rsid w:val="00A11CD5"/>
    <w:rsid w:val="00A12CB4"/>
    <w:rsid w:val="00A12D49"/>
    <w:rsid w:val="00A13006"/>
    <w:rsid w:val="00A13632"/>
    <w:rsid w:val="00A13F09"/>
    <w:rsid w:val="00A1484C"/>
    <w:rsid w:val="00A14E0F"/>
    <w:rsid w:val="00A20090"/>
    <w:rsid w:val="00A204FF"/>
    <w:rsid w:val="00A205CB"/>
    <w:rsid w:val="00A228F1"/>
    <w:rsid w:val="00A22BC3"/>
    <w:rsid w:val="00A231AF"/>
    <w:rsid w:val="00A25091"/>
    <w:rsid w:val="00A269E4"/>
    <w:rsid w:val="00A301CD"/>
    <w:rsid w:val="00A32E50"/>
    <w:rsid w:val="00A3347A"/>
    <w:rsid w:val="00A33AA7"/>
    <w:rsid w:val="00A33F1E"/>
    <w:rsid w:val="00A34F96"/>
    <w:rsid w:val="00A35A09"/>
    <w:rsid w:val="00A361EA"/>
    <w:rsid w:val="00A368BD"/>
    <w:rsid w:val="00A37589"/>
    <w:rsid w:val="00A42F55"/>
    <w:rsid w:val="00A44107"/>
    <w:rsid w:val="00A44150"/>
    <w:rsid w:val="00A45B55"/>
    <w:rsid w:val="00A46081"/>
    <w:rsid w:val="00A46B88"/>
    <w:rsid w:val="00A46FF0"/>
    <w:rsid w:val="00A47E08"/>
    <w:rsid w:val="00A50559"/>
    <w:rsid w:val="00A50D1D"/>
    <w:rsid w:val="00A51A0D"/>
    <w:rsid w:val="00A526CA"/>
    <w:rsid w:val="00A530D3"/>
    <w:rsid w:val="00A541EF"/>
    <w:rsid w:val="00A55917"/>
    <w:rsid w:val="00A57937"/>
    <w:rsid w:val="00A57D48"/>
    <w:rsid w:val="00A61A93"/>
    <w:rsid w:val="00A6383E"/>
    <w:rsid w:val="00A63FB7"/>
    <w:rsid w:val="00A65738"/>
    <w:rsid w:val="00A65BEC"/>
    <w:rsid w:val="00A70E11"/>
    <w:rsid w:val="00A73C3F"/>
    <w:rsid w:val="00A755BC"/>
    <w:rsid w:val="00A758E8"/>
    <w:rsid w:val="00A75F18"/>
    <w:rsid w:val="00A766B4"/>
    <w:rsid w:val="00A76881"/>
    <w:rsid w:val="00A77BDD"/>
    <w:rsid w:val="00A802C0"/>
    <w:rsid w:val="00A8061B"/>
    <w:rsid w:val="00A81945"/>
    <w:rsid w:val="00A8195F"/>
    <w:rsid w:val="00A81AD5"/>
    <w:rsid w:val="00A8217C"/>
    <w:rsid w:val="00A82D1F"/>
    <w:rsid w:val="00A82EE1"/>
    <w:rsid w:val="00A83358"/>
    <w:rsid w:val="00A833F2"/>
    <w:rsid w:val="00A8570C"/>
    <w:rsid w:val="00A8732E"/>
    <w:rsid w:val="00A87C5F"/>
    <w:rsid w:val="00A87DC4"/>
    <w:rsid w:val="00A87E38"/>
    <w:rsid w:val="00A906EF"/>
    <w:rsid w:val="00A91A70"/>
    <w:rsid w:val="00A929EC"/>
    <w:rsid w:val="00A92D82"/>
    <w:rsid w:val="00A92F13"/>
    <w:rsid w:val="00A94D1C"/>
    <w:rsid w:val="00A955B1"/>
    <w:rsid w:val="00A967AE"/>
    <w:rsid w:val="00A968F1"/>
    <w:rsid w:val="00A97B81"/>
    <w:rsid w:val="00AA005C"/>
    <w:rsid w:val="00AA32BC"/>
    <w:rsid w:val="00AA34B3"/>
    <w:rsid w:val="00AA677D"/>
    <w:rsid w:val="00AA6957"/>
    <w:rsid w:val="00AA6D02"/>
    <w:rsid w:val="00AB0310"/>
    <w:rsid w:val="00AB3A95"/>
    <w:rsid w:val="00AB4BE3"/>
    <w:rsid w:val="00AB53E8"/>
    <w:rsid w:val="00AB5A24"/>
    <w:rsid w:val="00AB6D4B"/>
    <w:rsid w:val="00AB7BE5"/>
    <w:rsid w:val="00AC080B"/>
    <w:rsid w:val="00AC0E2F"/>
    <w:rsid w:val="00AC11B7"/>
    <w:rsid w:val="00AC1ED5"/>
    <w:rsid w:val="00AC3CC1"/>
    <w:rsid w:val="00AC3EC7"/>
    <w:rsid w:val="00AC4D4D"/>
    <w:rsid w:val="00AC728C"/>
    <w:rsid w:val="00AD0238"/>
    <w:rsid w:val="00AD0715"/>
    <w:rsid w:val="00AD1730"/>
    <w:rsid w:val="00AD2113"/>
    <w:rsid w:val="00AD29C4"/>
    <w:rsid w:val="00AD29E3"/>
    <w:rsid w:val="00AD2EF1"/>
    <w:rsid w:val="00AD35D5"/>
    <w:rsid w:val="00AD3F1D"/>
    <w:rsid w:val="00AD4659"/>
    <w:rsid w:val="00AD4E26"/>
    <w:rsid w:val="00AD547B"/>
    <w:rsid w:val="00AD67DD"/>
    <w:rsid w:val="00AE07DE"/>
    <w:rsid w:val="00AE091C"/>
    <w:rsid w:val="00AE2283"/>
    <w:rsid w:val="00AE36C8"/>
    <w:rsid w:val="00AE3DED"/>
    <w:rsid w:val="00AE5225"/>
    <w:rsid w:val="00AF0860"/>
    <w:rsid w:val="00AF11CC"/>
    <w:rsid w:val="00AF1EB9"/>
    <w:rsid w:val="00AF2E8D"/>
    <w:rsid w:val="00AF353A"/>
    <w:rsid w:val="00AF3B8A"/>
    <w:rsid w:val="00AF45A6"/>
    <w:rsid w:val="00AF45D0"/>
    <w:rsid w:val="00AF5590"/>
    <w:rsid w:val="00AF587D"/>
    <w:rsid w:val="00B0302F"/>
    <w:rsid w:val="00B03D8D"/>
    <w:rsid w:val="00B04A7D"/>
    <w:rsid w:val="00B04ABC"/>
    <w:rsid w:val="00B04D4D"/>
    <w:rsid w:val="00B06E16"/>
    <w:rsid w:val="00B06E8C"/>
    <w:rsid w:val="00B07CA0"/>
    <w:rsid w:val="00B113FC"/>
    <w:rsid w:val="00B129D7"/>
    <w:rsid w:val="00B13A70"/>
    <w:rsid w:val="00B13AC5"/>
    <w:rsid w:val="00B13F32"/>
    <w:rsid w:val="00B15713"/>
    <w:rsid w:val="00B1599F"/>
    <w:rsid w:val="00B16D5A"/>
    <w:rsid w:val="00B16F71"/>
    <w:rsid w:val="00B172C8"/>
    <w:rsid w:val="00B17677"/>
    <w:rsid w:val="00B21C73"/>
    <w:rsid w:val="00B22D8D"/>
    <w:rsid w:val="00B3039F"/>
    <w:rsid w:val="00B3274F"/>
    <w:rsid w:val="00B32AF9"/>
    <w:rsid w:val="00B3598C"/>
    <w:rsid w:val="00B36225"/>
    <w:rsid w:val="00B42B36"/>
    <w:rsid w:val="00B42C43"/>
    <w:rsid w:val="00B4301D"/>
    <w:rsid w:val="00B43AE6"/>
    <w:rsid w:val="00B4420A"/>
    <w:rsid w:val="00B44718"/>
    <w:rsid w:val="00B44AFF"/>
    <w:rsid w:val="00B44D13"/>
    <w:rsid w:val="00B45D08"/>
    <w:rsid w:val="00B4658F"/>
    <w:rsid w:val="00B47228"/>
    <w:rsid w:val="00B476D2"/>
    <w:rsid w:val="00B47F2A"/>
    <w:rsid w:val="00B50BC6"/>
    <w:rsid w:val="00B50EA1"/>
    <w:rsid w:val="00B51BEE"/>
    <w:rsid w:val="00B5570A"/>
    <w:rsid w:val="00B557FD"/>
    <w:rsid w:val="00B57648"/>
    <w:rsid w:val="00B57779"/>
    <w:rsid w:val="00B57D07"/>
    <w:rsid w:val="00B61BB7"/>
    <w:rsid w:val="00B645DD"/>
    <w:rsid w:val="00B6512A"/>
    <w:rsid w:val="00B65AC7"/>
    <w:rsid w:val="00B70574"/>
    <w:rsid w:val="00B705C9"/>
    <w:rsid w:val="00B716D9"/>
    <w:rsid w:val="00B727AD"/>
    <w:rsid w:val="00B7284B"/>
    <w:rsid w:val="00B72C99"/>
    <w:rsid w:val="00B72F27"/>
    <w:rsid w:val="00B7384E"/>
    <w:rsid w:val="00B74F11"/>
    <w:rsid w:val="00B76BCF"/>
    <w:rsid w:val="00B772BF"/>
    <w:rsid w:val="00B80E38"/>
    <w:rsid w:val="00B81585"/>
    <w:rsid w:val="00B815E8"/>
    <w:rsid w:val="00B81968"/>
    <w:rsid w:val="00B83256"/>
    <w:rsid w:val="00B84B05"/>
    <w:rsid w:val="00B86F77"/>
    <w:rsid w:val="00B8796B"/>
    <w:rsid w:val="00B91599"/>
    <w:rsid w:val="00B939F4"/>
    <w:rsid w:val="00B93E83"/>
    <w:rsid w:val="00B93FDE"/>
    <w:rsid w:val="00B95CA2"/>
    <w:rsid w:val="00B9696C"/>
    <w:rsid w:val="00B96A1C"/>
    <w:rsid w:val="00B978A3"/>
    <w:rsid w:val="00B9A8C6"/>
    <w:rsid w:val="00BA0B56"/>
    <w:rsid w:val="00BA1625"/>
    <w:rsid w:val="00BA1D63"/>
    <w:rsid w:val="00BA343E"/>
    <w:rsid w:val="00BA3D4B"/>
    <w:rsid w:val="00BA3DBC"/>
    <w:rsid w:val="00BA4A47"/>
    <w:rsid w:val="00BA5B54"/>
    <w:rsid w:val="00BA6D0A"/>
    <w:rsid w:val="00BA6FF6"/>
    <w:rsid w:val="00BB0EF7"/>
    <w:rsid w:val="00BB0F9F"/>
    <w:rsid w:val="00BB1E8A"/>
    <w:rsid w:val="00BB2138"/>
    <w:rsid w:val="00BB24B1"/>
    <w:rsid w:val="00BB26E5"/>
    <w:rsid w:val="00BB38EC"/>
    <w:rsid w:val="00BB600C"/>
    <w:rsid w:val="00BB6E2C"/>
    <w:rsid w:val="00BB7F61"/>
    <w:rsid w:val="00BC0DC0"/>
    <w:rsid w:val="00BC12AC"/>
    <w:rsid w:val="00BC28DC"/>
    <w:rsid w:val="00BC3D5B"/>
    <w:rsid w:val="00BC3F27"/>
    <w:rsid w:val="00BC4591"/>
    <w:rsid w:val="00BC5CF5"/>
    <w:rsid w:val="00BC78FC"/>
    <w:rsid w:val="00BD24A9"/>
    <w:rsid w:val="00BD2EB5"/>
    <w:rsid w:val="00BD3FBF"/>
    <w:rsid w:val="00BD5F0A"/>
    <w:rsid w:val="00BD67E4"/>
    <w:rsid w:val="00BD7E8E"/>
    <w:rsid w:val="00BE00D0"/>
    <w:rsid w:val="00BE1102"/>
    <w:rsid w:val="00BE1385"/>
    <w:rsid w:val="00BE1FB7"/>
    <w:rsid w:val="00BE3AA5"/>
    <w:rsid w:val="00BE4096"/>
    <w:rsid w:val="00BF042D"/>
    <w:rsid w:val="00BF18C2"/>
    <w:rsid w:val="00BF2081"/>
    <w:rsid w:val="00BF2213"/>
    <w:rsid w:val="00BF3403"/>
    <w:rsid w:val="00BF56BD"/>
    <w:rsid w:val="00BF5D10"/>
    <w:rsid w:val="00BF746B"/>
    <w:rsid w:val="00C01C67"/>
    <w:rsid w:val="00C04AD5"/>
    <w:rsid w:val="00C05F28"/>
    <w:rsid w:val="00C06948"/>
    <w:rsid w:val="00C1037D"/>
    <w:rsid w:val="00C10C0E"/>
    <w:rsid w:val="00C10F49"/>
    <w:rsid w:val="00C133C6"/>
    <w:rsid w:val="00C16B58"/>
    <w:rsid w:val="00C17078"/>
    <w:rsid w:val="00C20729"/>
    <w:rsid w:val="00C22500"/>
    <w:rsid w:val="00C22929"/>
    <w:rsid w:val="00C2393E"/>
    <w:rsid w:val="00C245B9"/>
    <w:rsid w:val="00C24CCF"/>
    <w:rsid w:val="00C25F34"/>
    <w:rsid w:val="00C26378"/>
    <w:rsid w:val="00C2744C"/>
    <w:rsid w:val="00C3133B"/>
    <w:rsid w:val="00C31353"/>
    <w:rsid w:val="00C31A7F"/>
    <w:rsid w:val="00C31E78"/>
    <w:rsid w:val="00C322B5"/>
    <w:rsid w:val="00C324A5"/>
    <w:rsid w:val="00C326D3"/>
    <w:rsid w:val="00C32990"/>
    <w:rsid w:val="00C3631C"/>
    <w:rsid w:val="00C3638E"/>
    <w:rsid w:val="00C36939"/>
    <w:rsid w:val="00C36AC0"/>
    <w:rsid w:val="00C36CBA"/>
    <w:rsid w:val="00C375DB"/>
    <w:rsid w:val="00C405DB"/>
    <w:rsid w:val="00C40F45"/>
    <w:rsid w:val="00C41717"/>
    <w:rsid w:val="00C42348"/>
    <w:rsid w:val="00C42E6D"/>
    <w:rsid w:val="00C4393B"/>
    <w:rsid w:val="00C4460A"/>
    <w:rsid w:val="00C451E9"/>
    <w:rsid w:val="00C516C1"/>
    <w:rsid w:val="00C52774"/>
    <w:rsid w:val="00C52C86"/>
    <w:rsid w:val="00C52F7C"/>
    <w:rsid w:val="00C53497"/>
    <w:rsid w:val="00C53C28"/>
    <w:rsid w:val="00C60C94"/>
    <w:rsid w:val="00C6199B"/>
    <w:rsid w:val="00C6214A"/>
    <w:rsid w:val="00C6269B"/>
    <w:rsid w:val="00C62953"/>
    <w:rsid w:val="00C63032"/>
    <w:rsid w:val="00C638F7"/>
    <w:rsid w:val="00C63E80"/>
    <w:rsid w:val="00C64AE4"/>
    <w:rsid w:val="00C6732D"/>
    <w:rsid w:val="00C70F24"/>
    <w:rsid w:val="00C719F5"/>
    <w:rsid w:val="00C7262A"/>
    <w:rsid w:val="00C729A1"/>
    <w:rsid w:val="00C73115"/>
    <w:rsid w:val="00C74728"/>
    <w:rsid w:val="00C76019"/>
    <w:rsid w:val="00C76EB3"/>
    <w:rsid w:val="00C77382"/>
    <w:rsid w:val="00C7796E"/>
    <w:rsid w:val="00C808A0"/>
    <w:rsid w:val="00C830BF"/>
    <w:rsid w:val="00C84C9E"/>
    <w:rsid w:val="00C8629C"/>
    <w:rsid w:val="00C8714E"/>
    <w:rsid w:val="00C90CAE"/>
    <w:rsid w:val="00C9193B"/>
    <w:rsid w:val="00C92567"/>
    <w:rsid w:val="00C926F3"/>
    <w:rsid w:val="00C92E10"/>
    <w:rsid w:val="00C9531B"/>
    <w:rsid w:val="00C9664F"/>
    <w:rsid w:val="00C9686C"/>
    <w:rsid w:val="00C9706E"/>
    <w:rsid w:val="00CA04E0"/>
    <w:rsid w:val="00CA0619"/>
    <w:rsid w:val="00CA07EC"/>
    <w:rsid w:val="00CA0A9F"/>
    <w:rsid w:val="00CA0AE0"/>
    <w:rsid w:val="00CA0BE9"/>
    <w:rsid w:val="00CA17DC"/>
    <w:rsid w:val="00CA1EFC"/>
    <w:rsid w:val="00CA42C9"/>
    <w:rsid w:val="00CA5027"/>
    <w:rsid w:val="00CA59BD"/>
    <w:rsid w:val="00CA664C"/>
    <w:rsid w:val="00CA7634"/>
    <w:rsid w:val="00CB0ABE"/>
    <w:rsid w:val="00CB0FF8"/>
    <w:rsid w:val="00CB146F"/>
    <w:rsid w:val="00CB2DDC"/>
    <w:rsid w:val="00CB3740"/>
    <w:rsid w:val="00CB40B7"/>
    <w:rsid w:val="00CB41CC"/>
    <w:rsid w:val="00CB456A"/>
    <w:rsid w:val="00CB4AC4"/>
    <w:rsid w:val="00CB52E2"/>
    <w:rsid w:val="00CB5636"/>
    <w:rsid w:val="00CB5B66"/>
    <w:rsid w:val="00CB5D71"/>
    <w:rsid w:val="00CB5EAE"/>
    <w:rsid w:val="00CB61BF"/>
    <w:rsid w:val="00CB657F"/>
    <w:rsid w:val="00CB7563"/>
    <w:rsid w:val="00CB7ED9"/>
    <w:rsid w:val="00CC08B0"/>
    <w:rsid w:val="00CC1DD1"/>
    <w:rsid w:val="00CC27AC"/>
    <w:rsid w:val="00CC395C"/>
    <w:rsid w:val="00CC3A5A"/>
    <w:rsid w:val="00CC3BCD"/>
    <w:rsid w:val="00CC3CC9"/>
    <w:rsid w:val="00CC4B56"/>
    <w:rsid w:val="00CC4F9C"/>
    <w:rsid w:val="00CC56E9"/>
    <w:rsid w:val="00CC57BE"/>
    <w:rsid w:val="00CC79CD"/>
    <w:rsid w:val="00CC7A6D"/>
    <w:rsid w:val="00CD02E3"/>
    <w:rsid w:val="00CD03C8"/>
    <w:rsid w:val="00CD0B87"/>
    <w:rsid w:val="00CD150F"/>
    <w:rsid w:val="00CD3626"/>
    <w:rsid w:val="00CD3D17"/>
    <w:rsid w:val="00CD41E5"/>
    <w:rsid w:val="00CD41E7"/>
    <w:rsid w:val="00CD4479"/>
    <w:rsid w:val="00CD49E0"/>
    <w:rsid w:val="00CD4E9F"/>
    <w:rsid w:val="00CD4F75"/>
    <w:rsid w:val="00CD57EC"/>
    <w:rsid w:val="00CD65BC"/>
    <w:rsid w:val="00CD67DF"/>
    <w:rsid w:val="00CD74B0"/>
    <w:rsid w:val="00CE1B00"/>
    <w:rsid w:val="00CE2606"/>
    <w:rsid w:val="00CE292A"/>
    <w:rsid w:val="00CE3F3A"/>
    <w:rsid w:val="00CE4D29"/>
    <w:rsid w:val="00CE4DA4"/>
    <w:rsid w:val="00CE5490"/>
    <w:rsid w:val="00CE6D78"/>
    <w:rsid w:val="00CE793A"/>
    <w:rsid w:val="00CE7A03"/>
    <w:rsid w:val="00CE7CE3"/>
    <w:rsid w:val="00CF1251"/>
    <w:rsid w:val="00CF1CDC"/>
    <w:rsid w:val="00CF2C84"/>
    <w:rsid w:val="00CF349C"/>
    <w:rsid w:val="00CF4598"/>
    <w:rsid w:val="00CF7F0D"/>
    <w:rsid w:val="00D0017F"/>
    <w:rsid w:val="00D041A1"/>
    <w:rsid w:val="00D041FD"/>
    <w:rsid w:val="00D065AA"/>
    <w:rsid w:val="00D10E61"/>
    <w:rsid w:val="00D115E4"/>
    <w:rsid w:val="00D124BD"/>
    <w:rsid w:val="00D13D9E"/>
    <w:rsid w:val="00D1463E"/>
    <w:rsid w:val="00D14808"/>
    <w:rsid w:val="00D1487C"/>
    <w:rsid w:val="00D1557D"/>
    <w:rsid w:val="00D15907"/>
    <w:rsid w:val="00D15CD0"/>
    <w:rsid w:val="00D16026"/>
    <w:rsid w:val="00D17A84"/>
    <w:rsid w:val="00D227FC"/>
    <w:rsid w:val="00D22901"/>
    <w:rsid w:val="00D24052"/>
    <w:rsid w:val="00D24F62"/>
    <w:rsid w:val="00D25A2B"/>
    <w:rsid w:val="00D268D0"/>
    <w:rsid w:val="00D27762"/>
    <w:rsid w:val="00D27C57"/>
    <w:rsid w:val="00D3017C"/>
    <w:rsid w:val="00D30956"/>
    <w:rsid w:val="00D323B8"/>
    <w:rsid w:val="00D32C89"/>
    <w:rsid w:val="00D341E5"/>
    <w:rsid w:val="00D344BE"/>
    <w:rsid w:val="00D36C37"/>
    <w:rsid w:val="00D40209"/>
    <w:rsid w:val="00D40F22"/>
    <w:rsid w:val="00D41ACF"/>
    <w:rsid w:val="00D41C2B"/>
    <w:rsid w:val="00D41CB8"/>
    <w:rsid w:val="00D424AA"/>
    <w:rsid w:val="00D42F4A"/>
    <w:rsid w:val="00D4332F"/>
    <w:rsid w:val="00D4751F"/>
    <w:rsid w:val="00D5004A"/>
    <w:rsid w:val="00D5010E"/>
    <w:rsid w:val="00D5265C"/>
    <w:rsid w:val="00D54900"/>
    <w:rsid w:val="00D54C5A"/>
    <w:rsid w:val="00D54C97"/>
    <w:rsid w:val="00D57403"/>
    <w:rsid w:val="00D60DE4"/>
    <w:rsid w:val="00D65F82"/>
    <w:rsid w:val="00D66C41"/>
    <w:rsid w:val="00D675AB"/>
    <w:rsid w:val="00D700F1"/>
    <w:rsid w:val="00D72E67"/>
    <w:rsid w:val="00D72F45"/>
    <w:rsid w:val="00D73171"/>
    <w:rsid w:val="00D734B2"/>
    <w:rsid w:val="00D73C66"/>
    <w:rsid w:val="00D73FD3"/>
    <w:rsid w:val="00D74C59"/>
    <w:rsid w:val="00D76B51"/>
    <w:rsid w:val="00D76D0A"/>
    <w:rsid w:val="00D80095"/>
    <w:rsid w:val="00D80708"/>
    <w:rsid w:val="00D8085B"/>
    <w:rsid w:val="00D80EC1"/>
    <w:rsid w:val="00D82EC7"/>
    <w:rsid w:val="00D843C3"/>
    <w:rsid w:val="00D844BB"/>
    <w:rsid w:val="00D84B8C"/>
    <w:rsid w:val="00D85190"/>
    <w:rsid w:val="00D8578F"/>
    <w:rsid w:val="00D86F26"/>
    <w:rsid w:val="00D911AA"/>
    <w:rsid w:val="00D9287C"/>
    <w:rsid w:val="00D92CA9"/>
    <w:rsid w:val="00D93B75"/>
    <w:rsid w:val="00D95221"/>
    <w:rsid w:val="00D95574"/>
    <w:rsid w:val="00D96F0C"/>
    <w:rsid w:val="00D971D2"/>
    <w:rsid w:val="00D97276"/>
    <w:rsid w:val="00D976F0"/>
    <w:rsid w:val="00D97877"/>
    <w:rsid w:val="00DA021A"/>
    <w:rsid w:val="00DA0F18"/>
    <w:rsid w:val="00DA3448"/>
    <w:rsid w:val="00DA3A4F"/>
    <w:rsid w:val="00DA3F80"/>
    <w:rsid w:val="00DA5094"/>
    <w:rsid w:val="00DA7D64"/>
    <w:rsid w:val="00DB06A1"/>
    <w:rsid w:val="00DB06FE"/>
    <w:rsid w:val="00DB0AC5"/>
    <w:rsid w:val="00DB1951"/>
    <w:rsid w:val="00DB1A67"/>
    <w:rsid w:val="00DB1BC0"/>
    <w:rsid w:val="00DB1F73"/>
    <w:rsid w:val="00DB4B3C"/>
    <w:rsid w:val="00DB5C24"/>
    <w:rsid w:val="00DB5FE2"/>
    <w:rsid w:val="00DB60DD"/>
    <w:rsid w:val="00DB7124"/>
    <w:rsid w:val="00DB759C"/>
    <w:rsid w:val="00DC0953"/>
    <w:rsid w:val="00DC1D3D"/>
    <w:rsid w:val="00DC32E4"/>
    <w:rsid w:val="00DC6A0C"/>
    <w:rsid w:val="00DD081A"/>
    <w:rsid w:val="00DD0F06"/>
    <w:rsid w:val="00DD1658"/>
    <w:rsid w:val="00DD2496"/>
    <w:rsid w:val="00DD2CED"/>
    <w:rsid w:val="00DD4152"/>
    <w:rsid w:val="00DD4F25"/>
    <w:rsid w:val="00DD550F"/>
    <w:rsid w:val="00DD5645"/>
    <w:rsid w:val="00DD570A"/>
    <w:rsid w:val="00DD7101"/>
    <w:rsid w:val="00DE2AD6"/>
    <w:rsid w:val="00DE3727"/>
    <w:rsid w:val="00DE3DC9"/>
    <w:rsid w:val="00DE47AA"/>
    <w:rsid w:val="00DE59F5"/>
    <w:rsid w:val="00DE65D5"/>
    <w:rsid w:val="00DE7477"/>
    <w:rsid w:val="00DF1DD7"/>
    <w:rsid w:val="00DF27E7"/>
    <w:rsid w:val="00DF32BF"/>
    <w:rsid w:val="00DF5175"/>
    <w:rsid w:val="00DF5532"/>
    <w:rsid w:val="00DF5EBA"/>
    <w:rsid w:val="00DF6901"/>
    <w:rsid w:val="00DF6A3F"/>
    <w:rsid w:val="00DF7284"/>
    <w:rsid w:val="00DF7F24"/>
    <w:rsid w:val="00E02684"/>
    <w:rsid w:val="00E0391A"/>
    <w:rsid w:val="00E03D31"/>
    <w:rsid w:val="00E03EC3"/>
    <w:rsid w:val="00E05033"/>
    <w:rsid w:val="00E05408"/>
    <w:rsid w:val="00E058B7"/>
    <w:rsid w:val="00E05E39"/>
    <w:rsid w:val="00E06D30"/>
    <w:rsid w:val="00E07CB7"/>
    <w:rsid w:val="00E07DC5"/>
    <w:rsid w:val="00E10C33"/>
    <w:rsid w:val="00E11207"/>
    <w:rsid w:val="00E11D2A"/>
    <w:rsid w:val="00E12D1D"/>
    <w:rsid w:val="00E140BC"/>
    <w:rsid w:val="00E14915"/>
    <w:rsid w:val="00E1539C"/>
    <w:rsid w:val="00E153E3"/>
    <w:rsid w:val="00E15DC7"/>
    <w:rsid w:val="00E16423"/>
    <w:rsid w:val="00E16519"/>
    <w:rsid w:val="00E1704C"/>
    <w:rsid w:val="00E17305"/>
    <w:rsid w:val="00E17339"/>
    <w:rsid w:val="00E201C9"/>
    <w:rsid w:val="00E21C11"/>
    <w:rsid w:val="00E222BE"/>
    <w:rsid w:val="00E234B3"/>
    <w:rsid w:val="00E23AAD"/>
    <w:rsid w:val="00E257D8"/>
    <w:rsid w:val="00E25D4C"/>
    <w:rsid w:val="00E25DA3"/>
    <w:rsid w:val="00E2629B"/>
    <w:rsid w:val="00E314C7"/>
    <w:rsid w:val="00E33310"/>
    <w:rsid w:val="00E337FD"/>
    <w:rsid w:val="00E33C37"/>
    <w:rsid w:val="00E34425"/>
    <w:rsid w:val="00E3492E"/>
    <w:rsid w:val="00E36634"/>
    <w:rsid w:val="00E37946"/>
    <w:rsid w:val="00E41081"/>
    <w:rsid w:val="00E4148D"/>
    <w:rsid w:val="00E41CD4"/>
    <w:rsid w:val="00E420E3"/>
    <w:rsid w:val="00E425D8"/>
    <w:rsid w:val="00E430BF"/>
    <w:rsid w:val="00E43856"/>
    <w:rsid w:val="00E443F3"/>
    <w:rsid w:val="00E44BA1"/>
    <w:rsid w:val="00E457CC"/>
    <w:rsid w:val="00E45ACA"/>
    <w:rsid w:val="00E45C17"/>
    <w:rsid w:val="00E45FB7"/>
    <w:rsid w:val="00E46480"/>
    <w:rsid w:val="00E500D0"/>
    <w:rsid w:val="00E5010C"/>
    <w:rsid w:val="00E5067A"/>
    <w:rsid w:val="00E5149A"/>
    <w:rsid w:val="00E51973"/>
    <w:rsid w:val="00E51AC5"/>
    <w:rsid w:val="00E51E00"/>
    <w:rsid w:val="00E51EDD"/>
    <w:rsid w:val="00E53ACC"/>
    <w:rsid w:val="00E54BDF"/>
    <w:rsid w:val="00E60206"/>
    <w:rsid w:val="00E603E0"/>
    <w:rsid w:val="00E60BE4"/>
    <w:rsid w:val="00E60F01"/>
    <w:rsid w:val="00E61BD3"/>
    <w:rsid w:val="00E63519"/>
    <w:rsid w:val="00E6395E"/>
    <w:rsid w:val="00E63C28"/>
    <w:rsid w:val="00E63E32"/>
    <w:rsid w:val="00E676AE"/>
    <w:rsid w:val="00E70114"/>
    <w:rsid w:val="00E70353"/>
    <w:rsid w:val="00E70A17"/>
    <w:rsid w:val="00E70F4F"/>
    <w:rsid w:val="00E72C28"/>
    <w:rsid w:val="00E7312C"/>
    <w:rsid w:val="00E74687"/>
    <w:rsid w:val="00E7501A"/>
    <w:rsid w:val="00E75171"/>
    <w:rsid w:val="00E75B8B"/>
    <w:rsid w:val="00E763C0"/>
    <w:rsid w:val="00E80CF7"/>
    <w:rsid w:val="00E810E9"/>
    <w:rsid w:val="00E82077"/>
    <w:rsid w:val="00E83381"/>
    <w:rsid w:val="00E834D3"/>
    <w:rsid w:val="00E836B2"/>
    <w:rsid w:val="00E85B2B"/>
    <w:rsid w:val="00E876C1"/>
    <w:rsid w:val="00E90FEC"/>
    <w:rsid w:val="00E91621"/>
    <w:rsid w:val="00E92A8E"/>
    <w:rsid w:val="00E92AEA"/>
    <w:rsid w:val="00E93A69"/>
    <w:rsid w:val="00E95002"/>
    <w:rsid w:val="00E9586D"/>
    <w:rsid w:val="00E95D2A"/>
    <w:rsid w:val="00E96317"/>
    <w:rsid w:val="00E9669D"/>
    <w:rsid w:val="00E97017"/>
    <w:rsid w:val="00E970CA"/>
    <w:rsid w:val="00E97813"/>
    <w:rsid w:val="00E97954"/>
    <w:rsid w:val="00EA05EB"/>
    <w:rsid w:val="00EA0D87"/>
    <w:rsid w:val="00EA2CC0"/>
    <w:rsid w:val="00EA42BF"/>
    <w:rsid w:val="00EA6904"/>
    <w:rsid w:val="00EB0AEF"/>
    <w:rsid w:val="00EB3BC1"/>
    <w:rsid w:val="00EB41A8"/>
    <w:rsid w:val="00EB4527"/>
    <w:rsid w:val="00EB4885"/>
    <w:rsid w:val="00EB57C4"/>
    <w:rsid w:val="00EB5ADC"/>
    <w:rsid w:val="00EB692E"/>
    <w:rsid w:val="00EB6C18"/>
    <w:rsid w:val="00EB6D5D"/>
    <w:rsid w:val="00EB6EE5"/>
    <w:rsid w:val="00EB7524"/>
    <w:rsid w:val="00EC00A9"/>
    <w:rsid w:val="00EC0CAA"/>
    <w:rsid w:val="00EC13A4"/>
    <w:rsid w:val="00EC1A70"/>
    <w:rsid w:val="00EC262D"/>
    <w:rsid w:val="00EC2674"/>
    <w:rsid w:val="00EC5916"/>
    <w:rsid w:val="00EC623D"/>
    <w:rsid w:val="00EC6876"/>
    <w:rsid w:val="00ED1C0B"/>
    <w:rsid w:val="00ED3820"/>
    <w:rsid w:val="00ED4CD9"/>
    <w:rsid w:val="00ED6097"/>
    <w:rsid w:val="00EE01EA"/>
    <w:rsid w:val="00EE0812"/>
    <w:rsid w:val="00EE0DE8"/>
    <w:rsid w:val="00EE20DB"/>
    <w:rsid w:val="00EE2680"/>
    <w:rsid w:val="00EE286B"/>
    <w:rsid w:val="00EE3899"/>
    <w:rsid w:val="00EE43A7"/>
    <w:rsid w:val="00EE53C5"/>
    <w:rsid w:val="00EF0283"/>
    <w:rsid w:val="00EF0521"/>
    <w:rsid w:val="00EF068D"/>
    <w:rsid w:val="00EF0A80"/>
    <w:rsid w:val="00EF1457"/>
    <w:rsid w:val="00EF3B87"/>
    <w:rsid w:val="00EF49B2"/>
    <w:rsid w:val="00EF4CE3"/>
    <w:rsid w:val="00EF594F"/>
    <w:rsid w:val="00EF628D"/>
    <w:rsid w:val="00EF7175"/>
    <w:rsid w:val="00EF73D9"/>
    <w:rsid w:val="00F0129F"/>
    <w:rsid w:val="00F01C24"/>
    <w:rsid w:val="00F023CF"/>
    <w:rsid w:val="00F02896"/>
    <w:rsid w:val="00F03355"/>
    <w:rsid w:val="00F04279"/>
    <w:rsid w:val="00F04AAA"/>
    <w:rsid w:val="00F04BA9"/>
    <w:rsid w:val="00F05BFC"/>
    <w:rsid w:val="00F10C53"/>
    <w:rsid w:val="00F10D95"/>
    <w:rsid w:val="00F1131F"/>
    <w:rsid w:val="00F11E7A"/>
    <w:rsid w:val="00F13D0D"/>
    <w:rsid w:val="00F1534F"/>
    <w:rsid w:val="00F15B91"/>
    <w:rsid w:val="00F15DD8"/>
    <w:rsid w:val="00F15EF7"/>
    <w:rsid w:val="00F16B5D"/>
    <w:rsid w:val="00F171FA"/>
    <w:rsid w:val="00F17FDF"/>
    <w:rsid w:val="00F2066B"/>
    <w:rsid w:val="00F24785"/>
    <w:rsid w:val="00F24E03"/>
    <w:rsid w:val="00F27234"/>
    <w:rsid w:val="00F31333"/>
    <w:rsid w:val="00F34FA4"/>
    <w:rsid w:val="00F40A3A"/>
    <w:rsid w:val="00F421EA"/>
    <w:rsid w:val="00F4264F"/>
    <w:rsid w:val="00F43CF4"/>
    <w:rsid w:val="00F45C46"/>
    <w:rsid w:val="00F521FB"/>
    <w:rsid w:val="00F522F3"/>
    <w:rsid w:val="00F53570"/>
    <w:rsid w:val="00F5365F"/>
    <w:rsid w:val="00F536A4"/>
    <w:rsid w:val="00F540B1"/>
    <w:rsid w:val="00F5493B"/>
    <w:rsid w:val="00F55361"/>
    <w:rsid w:val="00F554EE"/>
    <w:rsid w:val="00F555B0"/>
    <w:rsid w:val="00F55818"/>
    <w:rsid w:val="00F570AC"/>
    <w:rsid w:val="00F575C7"/>
    <w:rsid w:val="00F60010"/>
    <w:rsid w:val="00F6156D"/>
    <w:rsid w:val="00F627A1"/>
    <w:rsid w:val="00F6434A"/>
    <w:rsid w:val="00F65E81"/>
    <w:rsid w:val="00F66DCC"/>
    <w:rsid w:val="00F72B66"/>
    <w:rsid w:val="00F77381"/>
    <w:rsid w:val="00F83946"/>
    <w:rsid w:val="00F83AAD"/>
    <w:rsid w:val="00F84801"/>
    <w:rsid w:val="00F84DE7"/>
    <w:rsid w:val="00F8566D"/>
    <w:rsid w:val="00F85C7A"/>
    <w:rsid w:val="00F86712"/>
    <w:rsid w:val="00F8711C"/>
    <w:rsid w:val="00F87514"/>
    <w:rsid w:val="00F87931"/>
    <w:rsid w:val="00F87A08"/>
    <w:rsid w:val="00F87A41"/>
    <w:rsid w:val="00F931E2"/>
    <w:rsid w:val="00F944A4"/>
    <w:rsid w:val="00F94559"/>
    <w:rsid w:val="00F94C09"/>
    <w:rsid w:val="00F95AF5"/>
    <w:rsid w:val="00F9799B"/>
    <w:rsid w:val="00FA0785"/>
    <w:rsid w:val="00FA1438"/>
    <w:rsid w:val="00FA1843"/>
    <w:rsid w:val="00FA1E11"/>
    <w:rsid w:val="00FA26AD"/>
    <w:rsid w:val="00FA3683"/>
    <w:rsid w:val="00FA74B8"/>
    <w:rsid w:val="00FA7807"/>
    <w:rsid w:val="00FA7EEF"/>
    <w:rsid w:val="00FB012F"/>
    <w:rsid w:val="00FB05C4"/>
    <w:rsid w:val="00FB08F9"/>
    <w:rsid w:val="00FB1558"/>
    <w:rsid w:val="00FB2045"/>
    <w:rsid w:val="00FB2DC9"/>
    <w:rsid w:val="00FB5362"/>
    <w:rsid w:val="00FB654A"/>
    <w:rsid w:val="00FC0987"/>
    <w:rsid w:val="00FC0AB3"/>
    <w:rsid w:val="00FC0F0A"/>
    <w:rsid w:val="00FC2E5D"/>
    <w:rsid w:val="00FC3E18"/>
    <w:rsid w:val="00FC4A25"/>
    <w:rsid w:val="00FC5AA9"/>
    <w:rsid w:val="00FD07CB"/>
    <w:rsid w:val="00FD07E4"/>
    <w:rsid w:val="00FD0DCD"/>
    <w:rsid w:val="00FD13F9"/>
    <w:rsid w:val="00FD3201"/>
    <w:rsid w:val="00FD6586"/>
    <w:rsid w:val="00FD7B55"/>
    <w:rsid w:val="00FE03E9"/>
    <w:rsid w:val="00FE0690"/>
    <w:rsid w:val="00FE1325"/>
    <w:rsid w:val="00FE1B0B"/>
    <w:rsid w:val="00FE3607"/>
    <w:rsid w:val="00FE4413"/>
    <w:rsid w:val="00FE4E82"/>
    <w:rsid w:val="00FE6689"/>
    <w:rsid w:val="00FF0064"/>
    <w:rsid w:val="00FF0AC5"/>
    <w:rsid w:val="00FF0B84"/>
    <w:rsid w:val="00FF1419"/>
    <w:rsid w:val="00FF28CA"/>
    <w:rsid w:val="00FF3DDE"/>
    <w:rsid w:val="00FF46CE"/>
    <w:rsid w:val="00FF4E2B"/>
    <w:rsid w:val="00FF5616"/>
    <w:rsid w:val="00FF5BFD"/>
    <w:rsid w:val="00FF684D"/>
    <w:rsid w:val="00FF726E"/>
    <w:rsid w:val="010E20D0"/>
    <w:rsid w:val="012CBE26"/>
    <w:rsid w:val="01C17B27"/>
    <w:rsid w:val="01CB0CC1"/>
    <w:rsid w:val="0218603C"/>
    <w:rsid w:val="0244F99D"/>
    <w:rsid w:val="02582D95"/>
    <w:rsid w:val="0290351F"/>
    <w:rsid w:val="02917870"/>
    <w:rsid w:val="03A0B4F5"/>
    <w:rsid w:val="03D9D992"/>
    <w:rsid w:val="03F76E15"/>
    <w:rsid w:val="04287D42"/>
    <w:rsid w:val="044086E9"/>
    <w:rsid w:val="04B41B2B"/>
    <w:rsid w:val="04CD1705"/>
    <w:rsid w:val="050A4147"/>
    <w:rsid w:val="05EAA09F"/>
    <w:rsid w:val="06070A59"/>
    <w:rsid w:val="061A4134"/>
    <w:rsid w:val="06CBEBED"/>
    <w:rsid w:val="070F1D86"/>
    <w:rsid w:val="075D61AF"/>
    <w:rsid w:val="07CF88F1"/>
    <w:rsid w:val="07DAF971"/>
    <w:rsid w:val="088DFC35"/>
    <w:rsid w:val="08B9462C"/>
    <w:rsid w:val="09A19A32"/>
    <w:rsid w:val="09A637AC"/>
    <w:rsid w:val="0A3AA2C6"/>
    <w:rsid w:val="0A4F740A"/>
    <w:rsid w:val="0AC804C0"/>
    <w:rsid w:val="0B6AFFA4"/>
    <w:rsid w:val="0B800E90"/>
    <w:rsid w:val="0C6E41DD"/>
    <w:rsid w:val="0CB04374"/>
    <w:rsid w:val="0CE9E2BD"/>
    <w:rsid w:val="0D6A662A"/>
    <w:rsid w:val="0D701879"/>
    <w:rsid w:val="0DC76DCE"/>
    <w:rsid w:val="0DC9B36A"/>
    <w:rsid w:val="0E5D4FA7"/>
    <w:rsid w:val="0EBA0D32"/>
    <w:rsid w:val="0EF89F6E"/>
    <w:rsid w:val="0F0BEF06"/>
    <w:rsid w:val="0F758B1E"/>
    <w:rsid w:val="104BF7CF"/>
    <w:rsid w:val="1078C280"/>
    <w:rsid w:val="114F6202"/>
    <w:rsid w:val="120EB2D4"/>
    <w:rsid w:val="121097CD"/>
    <w:rsid w:val="123D954F"/>
    <w:rsid w:val="1260B42D"/>
    <w:rsid w:val="13C64F3A"/>
    <w:rsid w:val="13E74688"/>
    <w:rsid w:val="14593AF9"/>
    <w:rsid w:val="14C6C6A2"/>
    <w:rsid w:val="14ECFFFD"/>
    <w:rsid w:val="150DA4EF"/>
    <w:rsid w:val="155CD7FD"/>
    <w:rsid w:val="16301C85"/>
    <w:rsid w:val="16C4879F"/>
    <w:rsid w:val="16EE8FC9"/>
    <w:rsid w:val="1761B575"/>
    <w:rsid w:val="1788FD8E"/>
    <w:rsid w:val="17907714"/>
    <w:rsid w:val="17B702B1"/>
    <w:rsid w:val="192EF573"/>
    <w:rsid w:val="1936DC1D"/>
    <w:rsid w:val="1937CDA9"/>
    <w:rsid w:val="1960A75B"/>
    <w:rsid w:val="196D2D0F"/>
    <w:rsid w:val="197B4A0A"/>
    <w:rsid w:val="19BE7DEF"/>
    <w:rsid w:val="19CBD0E0"/>
    <w:rsid w:val="1A425A3D"/>
    <w:rsid w:val="1ABA042D"/>
    <w:rsid w:val="1AE73480"/>
    <w:rsid w:val="1AEA5A8E"/>
    <w:rsid w:val="1C1C3354"/>
    <w:rsid w:val="1C751A40"/>
    <w:rsid w:val="1CBDE33B"/>
    <w:rsid w:val="1CD1408B"/>
    <w:rsid w:val="1CDF6EC2"/>
    <w:rsid w:val="1D1A6808"/>
    <w:rsid w:val="1D3BD9E1"/>
    <w:rsid w:val="1DD946DB"/>
    <w:rsid w:val="1E3B1792"/>
    <w:rsid w:val="1E7276A4"/>
    <w:rsid w:val="1E7805FD"/>
    <w:rsid w:val="1F41EA06"/>
    <w:rsid w:val="1FA1FAB8"/>
    <w:rsid w:val="1FAFF596"/>
    <w:rsid w:val="1FC6FAE2"/>
    <w:rsid w:val="1FCCF39B"/>
    <w:rsid w:val="201CEC46"/>
    <w:rsid w:val="20CA7C2A"/>
    <w:rsid w:val="2152491D"/>
    <w:rsid w:val="21B892AF"/>
    <w:rsid w:val="223308D8"/>
    <w:rsid w:val="2249B873"/>
    <w:rsid w:val="226EC62E"/>
    <w:rsid w:val="22F17C1C"/>
    <w:rsid w:val="232260B6"/>
    <w:rsid w:val="2323BA16"/>
    <w:rsid w:val="233C46F6"/>
    <w:rsid w:val="2363A35E"/>
    <w:rsid w:val="23877009"/>
    <w:rsid w:val="239870DB"/>
    <w:rsid w:val="23D848B3"/>
    <w:rsid w:val="2436E7E6"/>
    <w:rsid w:val="246C1B13"/>
    <w:rsid w:val="2493D842"/>
    <w:rsid w:val="24E1BF3B"/>
    <w:rsid w:val="251049EF"/>
    <w:rsid w:val="253F0BDA"/>
    <w:rsid w:val="258A37CE"/>
    <w:rsid w:val="25F80E07"/>
    <w:rsid w:val="26156695"/>
    <w:rsid w:val="2655B5B9"/>
    <w:rsid w:val="26B9A069"/>
    <w:rsid w:val="26C6AEC1"/>
    <w:rsid w:val="272BEF99"/>
    <w:rsid w:val="2747F6EF"/>
    <w:rsid w:val="2789FCA6"/>
    <w:rsid w:val="27A4F309"/>
    <w:rsid w:val="27BD655B"/>
    <w:rsid w:val="27D55EC8"/>
    <w:rsid w:val="27FCA6E7"/>
    <w:rsid w:val="283F91E4"/>
    <w:rsid w:val="285C574E"/>
    <w:rsid w:val="28621A7B"/>
    <w:rsid w:val="286FA2D9"/>
    <w:rsid w:val="28873A6D"/>
    <w:rsid w:val="2905C67D"/>
    <w:rsid w:val="292FAEC9"/>
    <w:rsid w:val="29E31100"/>
    <w:rsid w:val="29E7E8F7"/>
    <w:rsid w:val="2A0D6CB0"/>
    <w:rsid w:val="2A731001"/>
    <w:rsid w:val="2A9BA099"/>
    <w:rsid w:val="2ABB08E6"/>
    <w:rsid w:val="2AF46EA5"/>
    <w:rsid w:val="2B6529A9"/>
    <w:rsid w:val="2B9E4EA2"/>
    <w:rsid w:val="2BCADB56"/>
    <w:rsid w:val="2D564E84"/>
    <w:rsid w:val="2E1D02FE"/>
    <w:rsid w:val="2E77F6C2"/>
    <w:rsid w:val="2EAA0CDC"/>
    <w:rsid w:val="2FBB65C6"/>
    <w:rsid w:val="3002597B"/>
    <w:rsid w:val="3024DD07"/>
    <w:rsid w:val="302B7879"/>
    <w:rsid w:val="30C62712"/>
    <w:rsid w:val="316A091D"/>
    <w:rsid w:val="3214F9AF"/>
    <w:rsid w:val="32165CE9"/>
    <w:rsid w:val="3255132B"/>
    <w:rsid w:val="32B52430"/>
    <w:rsid w:val="3311F4D8"/>
    <w:rsid w:val="33B71019"/>
    <w:rsid w:val="33C6955C"/>
    <w:rsid w:val="33DE1FF7"/>
    <w:rsid w:val="348DF34D"/>
    <w:rsid w:val="34D14D17"/>
    <w:rsid w:val="35162FC8"/>
    <w:rsid w:val="3599AD94"/>
    <w:rsid w:val="35A3B597"/>
    <w:rsid w:val="35E1A65C"/>
    <w:rsid w:val="3656620D"/>
    <w:rsid w:val="36EB7C46"/>
    <w:rsid w:val="377CEC2A"/>
    <w:rsid w:val="38389047"/>
    <w:rsid w:val="38634D63"/>
    <w:rsid w:val="3895180D"/>
    <w:rsid w:val="38B02C63"/>
    <w:rsid w:val="38C785C1"/>
    <w:rsid w:val="39133373"/>
    <w:rsid w:val="3977A2C3"/>
    <w:rsid w:val="3A3D1DDF"/>
    <w:rsid w:val="3A5383B9"/>
    <w:rsid w:val="3A5620D2"/>
    <w:rsid w:val="3A56C269"/>
    <w:rsid w:val="3A570C5C"/>
    <w:rsid w:val="3A6E8899"/>
    <w:rsid w:val="3AA9EC90"/>
    <w:rsid w:val="3AD7A55F"/>
    <w:rsid w:val="3AE28D1B"/>
    <w:rsid w:val="3B530AB6"/>
    <w:rsid w:val="3C113809"/>
    <w:rsid w:val="3C476804"/>
    <w:rsid w:val="3C5E8CFD"/>
    <w:rsid w:val="3C6747AE"/>
    <w:rsid w:val="3D1DE6E7"/>
    <w:rsid w:val="3D35AD83"/>
    <w:rsid w:val="3D6064B8"/>
    <w:rsid w:val="3DA6295B"/>
    <w:rsid w:val="3DDF1CB2"/>
    <w:rsid w:val="3E12814A"/>
    <w:rsid w:val="3E5B14A0"/>
    <w:rsid w:val="3EB314AB"/>
    <w:rsid w:val="3EC9BB83"/>
    <w:rsid w:val="3F0F8467"/>
    <w:rsid w:val="3F381CEA"/>
    <w:rsid w:val="3F38214A"/>
    <w:rsid w:val="3F7A7EDB"/>
    <w:rsid w:val="3FE84851"/>
    <w:rsid w:val="404E9578"/>
    <w:rsid w:val="408BF007"/>
    <w:rsid w:val="408FAEAD"/>
    <w:rsid w:val="40CEDE03"/>
    <w:rsid w:val="411ED2E8"/>
    <w:rsid w:val="412B5CE2"/>
    <w:rsid w:val="4159ECDC"/>
    <w:rsid w:val="41E9D026"/>
    <w:rsid w:val="42513D3D"/>
    <w:rsid w:val="42BAB69C"/>
    <w:rsid w:val="43101C1D"/>
    <w:rsid w:val="4341C212"/>
    <w:rsid w:val="43AC56D8"/>
    <w:rsid w:val="43EEC1C7"/>
    <w:rsid w:val="4470C08D"/>
    <w:rsid w:val="4497B5FD"/>
    <w:rsid w:val="44CB4B28"/>
    <w:rsid w:val="44F3A91D"/>
    <w:rsid w:val="45899907"/>
    <w:rsid w:val="45B80ECF"/>
    <w:rsid w:val="45F71350"/>
    <w:rsid w:val="45F74621"/>
    <w:rsid w:val="470AB717"/>
    <w:rsid w:val="470F8198"/>
    <w:rsid w:val="47901E0F"/>
    <w:rsid w:val="47CA520D"/>
    <w:rsid w:val="4839048B"/>
    <w:rsid w:val="48511F86"/>
    <w:rsid w:val="48625FF6"/>
    <w:rsid w:val="48BD72F8"/>
    <w:rsid w:val="494D9DEB"/>
    <w:rsid w:val="4A2A7B74"/>
    <w:rsid w:val="4A7E05A0"/>
    <w:rsid w:val="4AA2A90B"/>
    <w:rsid w:val="4B1747CD"/>
    <w:rsid w:val="4B5B4354"/>
    <w:rsid w:val="4B798C63"/>
    <w:rsid w:val="4BB17F3D"/>
    <w:rsid w:val="4C0AC6F4"/>
    <w:rsid w:val="4C7AB724"/>
    <w:rsid w:val="4C825C48"/>
    <w:rsid w:val="4C99DE1B"/>
    <w:rsid w:val="4D2698F7"/>
    <w:rsid w:val="4DA42626"/>
    <w:rsid w:val="4DBDC3B6"/>
    <w:rsid w:val="4DF8A75E"/>
    <w:rsid w:val="4E784AD1"/>
    <w:rsid w:val="4E93C80B"/>
    <w:rsid w:val="4EDCC216"/>
    <w:rsid w:val="4EF137E1"/>
    <w:rsid w:val="4F1CF15D"/>
    <w:rsid w:val="4F8EE5CE"/>
    <w:rsid w:val="504A63BA"/>
    <w:rsid w:val="5062670F"/>
    <w:rsid w:val="508FA549"/>
    <w:rsid w:val="50925001"/>
    <w:rsid w:val="50A4AC12"/>
    <w:rsid w:val="5141B5C8"/>
    <w:rsid w:val="51A909D9"/>
    <w:rsid w:val="51AF36C2"/>
    <w:rsid w:val="51B39F87"/>
    <w:rsid w:val="51CA0CC9"/>
    <w:rsid w:val="51CF42F3"/>
    <w:rsid w:val="51DBBA25"/>
    <w:rsid w:val="51E896D7"/>
    <w:rsid w:val="520BD3C8"/>
    <w:rsid w:val="522B3F2F"/>
    <w:rsid w:val="5372F6FF"/>
    <w:rsid w:val="538A113F"/>
    <w:rsid w:val="53C2A9B9"/>
    <w:rsid w:val="5457D9B5"/>
    <w:rsid w:val="546B680B"/>
    <w:rsid w:val="549D4BBF"/>
    <w:rsid w:val="54B5A557"/>
    <w:rsid w:val="55164CF9"/>
    <w:rsid w:val="55B3F01E"/>
    <w:rsid w:val="55C5741E"/>
    <w:rsid w:val="560C9166"/>
    <w:rsid w:val="5614EBBF"/>
    <w:rsid w:val="5695F608"/>
    <w:rsid w:val="5741E3AE"/>
    <w:rsid w:val="57F38E10"/>
    <w:rsid w:val="58A0C39C"/>
    <w:rsid w:val="5924D2DE"/>
    <w:rsid w:val="59563FB2"/>
    <w:rsid w:val="5A510FB7"/>
    <w:rsid w:val="5B19D441"/>
    <w:rsid w:val="5B2ABEBC"/>
    <w:rsid w:val="5B8EB69D"/>
    <w:rsid w:val="5B8EDCC9"/>
    <w:rsid w:val="5BEC8BE1"/>
    <w:rsid w:val="5BFDDBCA"/>
    <w:rsid w:val="5C0A0945"/>
    <w:rsid w:val="5C2D93F6"/>
    <w:rsid w:val="5D3F4408"/>
    <w:rsid w:val="5D731AA8"/>
    <w:rsid w:val="5D8425DF"/>
    <w:rsid w:val="5DDAA81E"/>
    <w:rsid w:val="5E6420DF"/>
    <w:rsid w:val="5EA2EC47"/>
    <w:rsid w:val="5EB0864A"/>
    <w:rsid w:val="5ED20234"/>
    <w:rsid w:val="5F21C62D"/>
    <w:rsid w:val="5F460F87"/>
    <w:rsid w:val="5FB189AA"/>
    <w:rsid w:val="6016DEB5"/>
    <w:rsid w:val="605B7B21"/>
    <w:rsid w:val="6087C38A"/>
    <w:rsid w:val="60D3C159"/>
    <w:rsid w:val="6119394C"/>
    <w:rsid w:val="61795C24"/>
    <w:rsid w:val="61B82B3F"/>
    <w:rsid w:val="62655EF9"/>
    <w:rsid w:val="62A39C05"/>
    <w:rsid w:val="62B1DBBE"/>
    <w:rsid w:val="62D93FBD"/>
    <w:rsid w:val="63152C85"/>
    <w:rsid w:val="63E25C2C"/>
    <w:rsid w:val="6429E860"/>
    <w:rsid w:val="64954B7D"/>
    <w:rsid w:val="6522D0AD"/>
    <w:rsid w:val="6526AF47"/>
    <w:rsid w:val="652CD8B0"/>
    <w:rsid w:val="653C2471"/>
    <w:rsid w:val="6553ACC9"/>
    <w:rsid w:val="659494D1"/>
    <w:rsid w:val="6598A3B8"/>
    <w:rsid w:val="660BD7E9"/>
    <w:rsid w:val="662EB009"/>
    <w:rsid w:val="666DA642"/>
    <w:rsid w:val="66E88CBE"/>
    <w:rsid w:val="66FD5E02"/>
    <w:rsid w:val="67CB13ED"/>
    <w:rsid w:val="67D3CAB3"/>
    <w:rsid w:val="67EED6A2"/>
    <w:rsid w:val="682DF888"/>
    <w:rsid w:val="68407EDF"/>
    <w:rsid w:val="684FF502"/>
    <w:rsid w:val="685DB891"/>
    <w:rsid w:val="68AE9BBB"/>
    <w:rsid w:val="68D3C38F"/>
    <w:rsid w:val="68DA8FF0"/>
    <w:rsid w:val="695E2D6C"/>
    <w:rsid w:val="698E5317"/>
    <w:rsid w:val="69ADA197"/>
    <w:rsid w:val="6A0E1B63"/>
    <w:rsid w:val="6A617B42"/>
    <w:rsid w:val="6A6E969C"/>
    <w:rsid w:val="6A8B2E7D"/>
    <w:rsid w:val="6A8E1102"/>
    <w:rsid w:val="6A968AEA"/>
    <w:rsid w:val="6AA68E8E"/>
    <w:rsid w:val="6AED825A"/>
    <w:rsid w:val="6B00C987"/>
    <w:rsid w:val="6B168973"/>
    <w:rsid w:val="6B40CEC3"/>
    <w:rsid w:val="6BB475FD"/>
    <w:rsid w:val="6BD7A052"/>
    <w:rsid w:val="6C8DFF3C"/>
    <w:rsid w:val="6C9FB3F2"/>
    <w:rsid w:val="6D1B350B"/>
    <w:rsid w:val="6D5C286A"/>
    <w:rsid w:val="6D7499DD"/>
    <w:rsid w:val="6DBA3DAF"/>
    <w:rsid w:val="6DBE8942"/>
    <w:rsid w:val="6DFBC220"/>
    <w:rsid w:val="6DFD4BFA"/>
    <w:rsid w:val="6EB32D2B"/>
    <w:rsid w:val="6EF7F8CB"/>
    <w:rsid w:val="6F1DC5E6"/>
    <w:rsid w:val="6F88DFEE"/>
    <w:rsid w:val="6FB76EBC"/>
    <w:rsid w:val="71097CBF"/>
    <w:rsid w:val="71815ABE"/>
    <w:rsid w:val="7195929F"/>
    <w:rsid w:val="71AA0B37"/>
    <w:rsid w:val="71B95D47"/>
    <w:rsid w:val="722F6F95"/>
    <w:rsid w:val="724FB8E4"/>
    <w:rsid w:val="72570DF7"/>
    <w:rsid w:val="7268855D"/>
    <w:rsid w:val="726F0764"/>
    <w:rsid w:val="72902FEE"/>
    <w:rsid w:val="72FDFF95"/>
    <w:rsid w:val="73DB57C8"/>
    <w:rsid w:val="7404C900"/>
    <w:rsid w:val="740B8BCD"/>
    <w:rsid w:val="7430E4DB"/>
    <w:rsid w:val="74332C7A"/>
    <w:rsid w:val="7467BF9B"/>
    <w:rsid w:val="748CC53E"/>
    <w:rsid w:val="751C22D0"/>
    <w:rsid w:val="761837F0"/>
    <w:rsid w:val="762070D1"/>
    <w:rsid w:val="76918174"/>
    <w:rsid w:val="76D3B8CC"/>
    <w:rsid w:val="76DDE3EA"/>
    <w:rsid w:val="77113A60"/>
    <w:rsid w:val="77629001"/>
    <w:rsid w:val="778C6F79"/>
    <w:rsid w:val="77D49C69"/>
    <w:rsid w:val="77EEEEB3"/>
    <w:rsid w:val="780018EC"/>
    <w:rsid w:val="7865C438"/>
    <w:rsid w:val="786857E5"/>
    <w:rsid w:val="7879B44B"/>
    <w:rsid w:val="792C0548"/>
    <w:rsid w:val="7B45A417"/>
    <w:rsid w:val="7C6281F0"/>
    <w:rsid w:val="7CBA2B13"/>
    <w:rsid w:val="7CD874AF"/>
    <w:rsid w:val="7CF24AA8"/>
    <w:rsid w:val="7CFC7FBD"/>
    <w:rsid w:val="7D85A267"/>
    <w:rsid w:val="7DDF971C"/>
    <w:rsid w:val="7E016E84"/>
    <w:rsid w:val="7E3C7A2B"/>
    <w:rsid w:val="7E810D86"/>
    <w:rsid w:val="7E8F9445"/>
    <w:rsid w:val="7EDE1856"/>
    <w:rsid w:val="7EE0F2D0"/>
    <w:rsid w:val="7EF4F438"/>
    <w:rsid w:val="7F531A12"/>
    <w:rsid w:val="7F67EB56"/>
    <w:rsid w:val="7F9F6614"/>
    <w:rsid w:val="7FC4795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A4FFD"/>
  <w15:chartTrackingRefBased/>
  <w15:docId w15:val="{40BD37E1-A42E-436C-8FB9-3FA06F1F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E9C"/>
    <w:pPr>
      <w:widowControl w:val="0"/>
      <w:spacing w:before="120" w:after="0" w:line="276" w:lineRule="auto"/>
      <w:jc w:val="both"/>
    </w:pPr>
    <w:rPr>
      <w:rFonts w:ascii="Arial" w:eastAsia="Calibri" w:hAnsi="Arial" w:cs="Times New Roman"/>
    </w:rPr>
  </w:style>
  <w:style w:type="paragraph" w:styleId="Heading1">
    <w:name w:val="heading 1"/>
    <w:basedOn w:val="Normal"/>
    <w:link w:val="Heading1Char"/>
    <w:autoRedefine/>
    <w:uiPriority w:val="1"/>
    <w:qFormat/>
    <w:rsid w:val="00D976F0"/>
    <w:pPr>
      <w:autoSpaceDE w:val="0"/>
      <w:autoSpaceDN w:val="0"/>
      <w:spacing w:line="240" w:lineRule="auto"/>
      <w:outlineLvl w:val="0"/>
    </w:pPr>
    <w:rPr>
      <w:rFonts w:cs="Arial"/>
      <w:b/>
      <w:bCs/>
      <w:szCs w:val="24"/>
    </w:rPr>
  </w:style>
  <w:style w:type="paragraph" w:styleId="Heading2">
    <w:name w:val="heading 2"/>
    <w:basedOn w:val="Normal"/>
    <w:link w:val="Heading2Char"/>
    <w:autoRedefine/>
    <w:uiPriority w:val="9"/>
    <w:unhideWhenUsed/>
    <w:qFormat/>
    <w:rsid w:val="00DF27E7"/>
    <w:pPr>
      <w:autoSpaceDE w:val="0"/>
      <w:autoSpaceDN w:val="0"/>
      <w:spacing w:line="240" w:lineRule="auto"/>
      <w:outlineLvl w:val="1"/>
    </w:pPr>
    <w:rPr>
      <w:rFonts w:eastAsia="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A8C"/>
    <w:pPr>
      <w:tabs>
        <w:tab w:val="center" w:pos="4536"/>
        <w:tab w:val="right" w:pos="9072"/>
      </w:tabs>
      <w:spacing w:line="240" w:lineRule="auto"/>
    </w:pPr>
  </w:style>
  <w:style w:type="character" w:customStyle="1" w:styleId="HeaderChar">
    <w:name w:val="Header Char"/>
    <w:basedOn w:val="DefaultParagraphFont"/>
    <w:link w:val="Header"/>
    <w:uiPriority w:val="99"/>
    <w:rsid w:val="00536A8C"/>
  </w:style>
  <w:style w:type="paragraph" w:styleId="Footer">
    <w:name w:val="footer"/>
    <w:basedOn w:val="Normal"/>
    <w:link w:val="FooterChar"/>
    <w:uiPriority w:val="99"/>
    <w:unhideWhenUsed/>
    <w:rsid w:val="00536A8C"/>
    <w:pPr>
      <w:tabs>
        <w:tab w:val="center" w:pos="4536"/>
        <w:tab w:val="right" w:pos="9072"/>
      </w:tabs>
      <w:spacing w:line="240" w:lineRule="auto"/>
    </w:pPr>
  </w:style>
  <w:style w:type="character" w:customStyle="1" w:styleId="FooterChar">
    <w:name w:val="Footer Char"/>
    <w:basedOn w:val="DefaultParagraphFont"/>
    <w:link w:val="Footer"/>
    <w:uiPriority w:val="99"/>
    <w:rsid w:val="00536A8C"/>
  </w:style>
  <w:style w:type="character" w:styleId="Hyperlink">
    <w:name w:val="Hyperlink"/>
    <w:basedOn w:val="DefaultParagraphFont"/>
    <w:uiPriority w:val="99"/>
    <w:unhideWhenUsed/>
    <w:rsid w:val="008D0308"/>
    <w:rPr>
      <w:color w:val="0563C1" w:themeColor="hyperlink"/>
      <w:u w:val="single"/>
    </w:rPr>
  </w:style>
  <w:style w:type="paragraph" w:styleId="ListParagraph">
    <w:name w:val="List Paragraph"/>
    <w:aliases w:val="body,Odsek zoznamu2,Odsek,lp1,Bullet List,FooterText,numbered,List Paragraph1,Paragraphe de liste1,Bullet Number,lp11,List Paragraph11,Bullet 1,Use Case List Paragraph,Medium Grid 1 - Accent 21,Farebný zoznam – zvýraznenie 11,Nad"/>
    <w:basedOn w:val="Normal"/>
    <w:link w:val="ListParagraphChar"/>
    <w:uiPriority w:val="34"/>
    <w:qFormat/>
    <w:rsid w:val="00D40F22"/>
    <w:pPr>
      <w:autoSpaceDE w:val="0"/>
      <w:autoSpaceDN w:val="0"/>
      <w:adjustRightInd w:val="0"/>
      <w:spacing w:line="240" w:lineRule="auto"/>
    </w:pPr>
    <w:rPr>
      <w:rFonts w:eastAsia="Times New Roman"/>
      <w:szCs w:val="24"/>
      <w:lang w:eastAsia="sk-SK"/>
    </w:rPr>
  </w:style>
  <w:style w:type="character" w:customStyle="1" w:styleId="ListParagraphChar">
    <w:name w:val="List Paragraph Char"/>
    <w:aliases w:val="body Char,Odsek zoznamu2 Char,Odsek Char,lp1 Char,Bullet List Char,FooterText Char,numbered Char,List Paragraph1 Char,Paragraphe de liste1 Char,Bullet Number Char,lp11 Char,List Paragraph11 Char,Bullet 1 Char,Nad Char"/>
    <w:link w:val="ListParagraph"/>
    <w:uiPriority w:val="34"/>
    <w:qFormat/>
    <w:locked/>
    <w:rsid w:val="00D40F22"/>
    <w:rPr>
      <w:rFonts w:eastAsia="Times New Roman" w:cs="Times New Roman"/>
      <w:sz w:val="24"/>
      <w:szCs w:val="24"/>
      <w:lang w:eastAsia="sk-SK"/>
    </w:rPr>
  </w:style>
  <w:style w:type="paragraph" w:styleId="PlainText">
    <w:name w:val="Plain Text"/>
    <w:basedOn w:val="Normal"/>
    <w:link w:val="PlainTextChar"/>
    <w:uiPriority w:val="99"/>
    <w:unhideWhenUsed/>
    <w:rsid w:val="00DD081A"/>
    <w:pPr>
      <w:widowControl/>
      <w:spacing w:line="240" w:lineRule="auto"/>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D081A"/>
    <w:rPr>
      <w:rFonts w:ascii="Calibri" w:hAnsi="Calibri"/>
      <w:szCs w:val="21"/>
    </w:rPr>
  </w:style>
  <w:style w:type="table" w:styleId="TableGrid">
    <w:name w:val="Table Grid"/>
    <w:basedOn w:val="TableNormal"/>
    <w:uiPriority w:val="59"/>
    <w:rsid w:val="00A7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976F0"/>
    <w:rPr>
      <w:rFonts w:ascii="Arial" w:eastAsia="Calibri" w:hAnsi="Arial" w:cs="Arial"/>
      <w:b/>
      <w:bCs/>
      <w:sz w:val="24"/>
      <w:szCs w:val="24"/>
    </w:rPr>
  </w:style>
  <w:style w:type="character" w:customStyle="1" w:styleId="Heading2Char">
    <w:name w:val="Heading 2 Char"/>
    <w:basedOn w:val="DefaultParagraphFont"/>
    <w:link w:val="Heading2"/>
    <w:uiPriority w:val="9"/>
    <w:qFormat/>
    <w:rsid w:val="00DF27E7"/>
    <w:rPr>
      <w:rFonts w:ascii="Arial" w:eastAsia="Arial" w:hAnsi="Arial" w:cs="Arial"/>
      <w:b/>
      <w:bCs/>
    </w:rPr>
  </w:style>
  <w:style w:type="paragraph" w:styleId="NormalWeb">
    <w:name w:val="Normal (Web)"/>
    <w:basedOn w:val="Normal"/>
    <w:uiPriority w:val="99"/>
    <w:semiHidden/>
    <w:unhideWhenUsed/>
    <w:rsid w:val="002140F7"/>
    <w:pPr>
      <w:widowControl/>
      <w:spacing w:before="100" w:beforeAutospacing="1" w:after="100" w:afterAutospacing="1" w:line="240" w:lineRule="auto"/>
    </w:pPr>
    <w:rPr>
      <w:rFonts w:eastAsia="Times New Roman" w:cs="Arial"/>
      <w:szCs w:val="24"/>
      <w:lang w:eastAsia="sk-SK"/>
    </w:rPr>
  </w:style>
  <w:style w:type="paragraph" w:customStyle="1" w:styleId="Normal0">
    <w:name w:val="_Normal"/>
    <w:basedOn w:val="Normal"/>
    <w:uiPriority w:val="99"/>
    <w:qFormat/>
    <w:rsid w:val="002140F7"/>
    <w:pPr>
      <w:widowControl/>
      <w:spacing w:after="160" w:line="256" w:lineRule="auto"/>
    </w:pPr>
    <w:rPr>
      <w:rFonts w:ascii="Times New Roman" w:hAnsi="Times New Roman"/>
      <w:szCs w:val="24"/>
    </w:rPr>
  </w:style>
  <w:style w:type="paragraph" w:customStyle="1" w:styleId="paragraph">
    <w:name w:val="paragraph"/>
    <w:basedOn w:val="Normal"/>
    <w:rsid w:val="002140F7"/>
    <w:pPr>
      <w:widowControl/>
      <w:spacing w:before="100" w:beforeAutospacing="1" w:after="100" w:afterAutospacing="1" w:line="240" w:lineRule="auto"/>
    </w:pPr>
    <w:rPr>
      <w:rFonts w:ascii="Times New Roman" w:eastAsia="Times New Roman" w:hAnsi="Times New Roman"/>
      <w:szCs w:val="24"/>
      <w:lang w:eastAsia="en-GB"/>
    </w:rPr>
  </w:style>
  <w:style w:type="character" w:styleId="CommentReference">
    <w:name w:val="annotation reference"/>
    <w:basedOn w:val="DefaultParagraphFont"/>
    <w:uiPriority w:val="99"/>
    <w:semiHidden/>
    <w:unhideWhenUsed/>
    <w:rsid w:val="003852DB"/>
    <w:rPr>
      <w:sz w:val="16"/>
      <w:szCs w:val="16"/>
    </w:rPr>
  </w:style>
  <w:style w:type="paragraph" w:styleId="CommentText">
    <w:name w:val="annotation text"/>
    <w:basedOn w:val="Normal"/>
    <w:link w:val="CommentTextChar"/>
    <w:uiPriority w:val="99"/>
    <w:unhideWhenUsed/>
    <w:rsid w:val="003852DB"/>
    <w:pPr>
      <w:spacing w:line="240" w:lineRule="auto"/>
    </w:pPr>
    <w:rPr>
      <w:sz w:val="20"/>
      <w:szCs w:val="20"/>
    </w:rPr>
  </w:style>
  <w:style w:type="character" w:customStyle="1" w:styleId="CommentTextChar">
    <w:name w:val="Comment Text Char"/>
    <w:basedOn w:val="DefaultParagraphFont"/>
    <w:link w:val="CommentText"/>
    <w:uiPriority w:val="99"/>
    <w:rsid w:val="003852DB"/>
    <w:rPr>
      <w:rFonts w:eastAsia="Calibri" w:cs="Times New Roman"/>
      <w:sz w:val="20"/>
      <w:szCs w:val="20"/>
    </w:rPr>
  </w:style>
  <w:style w:type="character" w:styleId="UnresolvedMention">
    <w:name w:val="Unresolved Mention"/>
    <w:basedOn w:val="DefaultParagraphFont"/>
    <w:uiPriority w:val="99"/>
    <w:semiHidden/>
    <w:unhideWhenUsed/>
    <w:rsid w:val="002C7C6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F551C"/>
    <w:rPr>
      <w:b/>
      <w:bCs/>
    </w:rPr>
  </w:style>
  <w:style w:type="character" w:customStyle="1" w:styleId="CommentSubjectChar">
    <w:name w:val="Comment Subject Char"/>
    <w:basedOn w:val="CommentTextChar"/>
    <w:link w:val="CommentSubject"/>
    <w:uiPriority w:val="99"/>
    <w:semiHidden/>
    <w:rsid w:val="007F551C"/>
    <w:rPr>
      <w:rFonts w:eastAsia="Calibri" w:cs="Times New Roman"/>
      <w:b/>
      <w:bCs/>
      <w:sz w:val="20"/>
      <w:szCs w:val="20"/>
    </w:rPr>
  </w:style>
  <w:style w:type="character" w:customStyle="1" w:styleId="normaltextrun">
    <w:name w:val="normaltextrun"/>
    <w:basedOn w:val="DefaultParagraphFont"/>
    <w:rsid w:val="00C6199B"/>
  </w:style>
  <w:style w:type="character" w:styleId="Mention">
    <w:name w:val="Mention"/>
    <w:basedOn w:val="DefaultParagraphFont"/>
    <w:uiPriority w:val="99"/>
    <w:unhideWhenUsed/>
    <w:rsid w:val="00E810E9"/>
    <w:rPr>
      <w:color w:val="2B579A"/>
      <w:shd w:val="clear" w:color="auto" w:fill="E1DFDD"/>
    </w:rPr>
  </w:style>
  <w:style w:type="paragraph" w:styleId="Revision">
    <w:name w:val="Revision"/>
    <w:hidden/>
    <w:uiPriority w:val="99"/>
    <w:semiHidden/>
    <w:rsid w:val="008F28C6"/>
    <w:pPr>
      <w:spacing w:after="0" w:line="240" w:lineRule="auto"/>
    </w:pPr>
    <w:rPr>
      <w:rFonts w:eastAsia="Calibri" w:cs="Times New Roman"/>
      <w:sz w:val="24"/>
    </w:rPr>
  </w:style>
  <w:style w:type="character" w:customStyle="1" w:styleId="cf01">
    <w:name w:val="cf01"/>
    <w:basedOn w:val="DefaultParagraphFont"/>
    <w:rsid w:val="00A83358"/>
    <w:rPr>
      <w:rFonts w:ascii="Segoe UI" w:hAnsi="Segoe UI" w:cs="Segoe UI" w:hint="default"/>
      <w:sz w:val="18"/>
      <w:szCs w:val="18"/>
    </w:rPr>
  </w:style>
  <w:style w:type="character" w:customStyle="1" w:styleId="cf11">
    <w:name w:val="cf11"/>
    <w:basedOn w:val="DefaultParagraphFont"/>
    <w:rsid w:val="00A83358"/>
    <w:rPr>
      <w:rFonts w:ascii="Segoe UI" w:hAnsi="Segoe UI" w:cs="Segoe UI" w:hint="default"/>
      <w:sz w:val="18"/>
      <w:szCs w:val="18"/>
    </w:rPr>
  </w:style>
  <w:style w:type="paragraph" w:customStyle="1" w:styleId="OPZTitle">
    <w:name w:val="OPZ Title"/>
    <w:basedOn w:val="Normal"/>
    <w:qFormat/>
    <w:rsid w:val="00A541EF"/>
    <w:pPr>
      <w:suppressAutoHyphens/>
      <w:spacing w:after="360"/>
    </w:pPr>
    <w:rPr>
      <w:rFonts w:cs="Arial"/>
      <w:b/>
      <w:color w:val="00000A"/>
    </w:rPr>
  </w:style>
  <w:style w:type="paragraph" w:customStyle="1" w:styleId="OPZSubtitle">
    <w:name w:val="OPZ Subtitle"/>
    <w:basedOn w:val="Normal"/>
    <w:next w:val="Normal"/>
    <w:qFormat/>
    <w:rsid w:val="00E17339"/>
    <w:pPr>
      <w:widowControl/>
      <w:suppressAutoHyphens/>
      <w:spacing w:before="480" w:after="180"/>
    </w:pPr>
    <w:rPr>
      <w:rFonts w:eastAsia="Arial" w:cs="Arial"/>
      <w:b/>
      <w:caps/>
      <w:szCs w:val="24"/>
    </w:rPr>
  </w:style>
  <w:style w:type="paragraph" w:customStyle="1" w:styleId="OPZText">
    <w:name w:val="OPZ Text"/>
    <w:basedOn w:val="Normal"/>
    <w:uiPriority w:val="99"/>
    <w:qFormat/>
    <w:rsid w:val="00A541EF"/>
    <w:pPr>
      <w:widowControl/>
      <w:spacing w:before="60"/>
    </w:pPr>
    <w:rPr>
      <w:rFonts w:eastAsia="Arial" w:cs="Arial"/>
      <w:color w:val="000000" w:themeColor="text1"/>
      <w:szCs w:val="24"/>
    </w:rPr>
  </w:style>
  <w:style w:type="paragraph" w:customStyle="1" w:styleId="OPZUnderline">
    <w:name w:val="OPZ Underline"/>
    <w:basedOn w:val="OPZText"/>
    <w:qFormat/>
    <w:rsid w:val="00A541EF"/>
    <w:rPr>
      <w:u w:val="single"/>
    </w:rPr>
  </w:style>
  <w:style w:type="paragraph" w:customStyle="1" w:styleId="OPZBullet1">
    <w:name w:val="OPZ Bullet 1"/>
    <w:basedOn w:val="OPZText"/>
    <w:qFormat/>
    <w:rsid w:val="00FD07E4"/>
    <w:pPr>
      <w:numPr>
        <w:numId w:val="3"/>
      </w:numPr>
      <w:spacing w:before="120" w:after="60"/>
    </w:pPr>
  </w:style>
  <w:style w:type="paragraph" w:customStyle="1" w:styleId="OPZNumbL1">
    <w:name w:val="OPZ Numb L1"/>
    <w:basedOn w:val="OPZText"/>
    <w:qFormat/>
    <w:rsid w:val="00A541EF"/>
    <w:pPr>
      <w:numPr>
        <w:numId w:val="1"/>
      </w:numPr>
      <w:outlineLvl w:val="0"/>
    </w:pPr>
    <w:rPr>
      <w:shd w:val="clear" w:color="auto" w:fill="FFFFFF"/>
    </w:rPr>
  </w:style>
  <w:style w:type="paragraph" w:customStyle="1" w:styleId="OPZSubtitleBlue">
    <w:name w:val="OPZ Subtitle Blue"/>
    <w:basedOn w:val="OPZText"/>
    <w:qFormat/>
    <w:rsid w:val="00A541EF"/>
    <w:pPr>
      <w:keepNext/>
      <w:spacing w:after="200"/>
    </w:pPr>
    <w:rPr>
      <w:b/>
      <w:color w:val="5B9BD5" w:themeColor="accent1"/>
    </w:rPr>
  </w:style>
  <w:style w:type="paragraph" w:customStyle="1" w:styleId="OPZTableText">
    <w:name w:val="OPZ Table Text"/>
    <w:basedOn w:val="OPZText"/>
    <w:qFormat/>
    <w:rsid w:val="00A541EF"/>
    <w:pPr>
      <w:spacing w:before="40" w:after="40" w:line="240" w:lineRule="auto"/>
      <w:jc w:val="left"/>
    </w:pPr>
  </w:style>
  <w:style w:type="paragraph" w:customStyle="1" w:styleId="OPZTableHeader">
    <w:name w:val="OPZ Table Header"/>
    <w:basedOn w:val="OPZText"/>
    <w:qFormat/>
    <w:rsid w:val="00A541EF"/>
    <w:pPr>
      <w:spacing w:before="120"/>
    </w:pPr>
    <w:rPr>
      <w:b/>
      <w:bCs/>
    </w:rPr>
  </w:style>
  <w:style w:type="character" w:styleId="FollowedHyperlink">
    <w:name w:val="FollowedHyperlink"/>
    <w:basedOn w:val="DefaultParagraphFont"/>
    <w:uiPriority w:val="99"/>
    <w:semiHidden/>
    <w:unhideWhenUsed/>
    <w:rsid w:val="001D081A"/>
    <w:rPr>
      <w:color w:val="954F72" w:themeColor="followedHyperlink"/>
      <w:u w:val="single"/>
    </w:rPr>
  </w:style>
  <w:style w:type="paragraph" w:customStyle="1" w:styleId="OPZNumbL2">
    <w:name w:val="OPZ Numb L2"/>
    <w:basedOn w:val="Normal"/>
    <w:qFormat/>
    <w:rsid w:val="003A2EE9"/>
    <w:pPr>
      <w:numPr>
        <w:numId w:val="6"/>
      </w:numPr>
      <w:spacing w:before="60"/>
      <w:outlineLvl w:val="1"/>
    </w:pPr>
  </w:style>
  <w:style w:type="paragraph" w:customStyle="1" w:styleId="OPZNumbL3">
    <w:name w:val="OPZ Numb L3"/>
    <w:basedOn w:val="Normal"/>
    <w:qFormat/>
    <w:rsid w:val="00F24E03"/>
    <w:pPr>
      <w:numPr>
        <w:numId w:val="2"/>
      </w:numPr>
      <w:autoSpaceDE w:val="0"/>
      <w:autoSpaceDN w:val="0"/>
      <w:adjustRightInd w:val="0"/>
      <w:outlineLvl w:val="2"/>
    </w:pPr>
    <w:rPr>
      <w:rFonts w:cstheme="minorHAnsi"/>
    </w:rPr>
  </w:style>
  <w:style w:type="paragraph" w:customStyle="1" w:styleId="OPZBullet1Continue">
    <w:name w:val="OPZ Bullet 1 Continue"/>
    <w:basedOn w:val="OPZBullet1"/>
    <w:qFormat/>
    <w:rsid w:val="00AA005C"/>
    <w:pPr>
      <w:spacing w:before="60" w:after="0"/>
    </w:pPr>
    <w:rPr>
      <w:color w:val="auto"/>
    </w:rPr>
  </w:style>
  <w:style w:type="character" w:styleId="Emphasis">
    <w:name w:val="Emphasis"/>
    <w:basedOn w:val="DefaultParagraphFont"/>
    <w:uiPriority w:val="20"/>
    <w:qFormat/>
    <w:rsid w:val="00DC0953"/>
    <w:rPr>
      <w:i/>
      <w:iCs/>
    </w:rPr>
  </w:style>
  <w:style w:type="paragraph" w:customStyle="1" w:styleId="OPZBullet2">
    <w:name w:val="OPZ Bullet 2"/>
    <w:basedOn w:val="OPZText"/>
    <w:qFormat/>
    <w:rsid w:val="003A2EE9"/>
    <w:pPr>
      <w:numPr>
        <w:ilvl w:val="1"/>
        <w:numId w:val="4"/>
      </w:numPr>
      <w:ind w:left="1588" w:hanging="227"/>
    </w:pPr>
    <w:rPr>
      <w:color w:val="auto"/>
    </w:rPr>
  </w:style>
  <w:style w:type="paragraph" w:customStyle="1" w:styleId="OPZNumbered">
    <w:name w:val="OPZ Numbered"/>
    <w:basedOn w:val="OPZText"/>
    <w:qFormat/>
    <w:rsid w:val="004D497E"/>
    <w:pPr>
      <w:spacing w:before="120"/>
      <w:ind w:left="794" w:hanging="454"/>
    </w:pPr>
  </w:style>
  <w:style w:type="paragraph" w:customStyle="1" w:styleId="OPZBullet2Continue">
    <w:name w:val="OPZ Bullet 2 Continue"/>
    <w:basedOn w:val="OPZBullet2"/>
    <w:qFormat/>
    <w:rsid w:val="00A228F1"/>
    <w:pPr>
      <w:numPr>
        <w:ilvl w:val="0"/>
        <w:numId w:val="0"/>
      </w:numPr>
      <w:ind w:left="1077"/>
    </w:pPr>
    <w:rPr>
      <w:rFonts w:eastAsia="Calibri" w:cstheme="minorHAnsi"/>
      <w:szCs w:val="22"/>
    </w:rPr>
  </w:style>
  <w:style w:type="character" w:customStyle="1" w:styleId="eop">
    <w:name w:val="eop"/>
    <w:basedOn w:val="DefaultParagraphFont"/>
    <w:rsid w:val="007A2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1094">
      <w:bodyDiv w:val="1"/>
      <w:marLeft w:val="0"/>
      <w:marRight w:val="0"/>
      <w:marTop w:val="0"/>
      <w:marBottom w:val="0"/>
      <w:divBdr>
        <w:top w:val="none" w:sz="0" w:space="0" w:color="auto"/>
        <w:left w:val="none" w:sz="0" w:space="0" w:color="auto"/>
        <w:bottom w:val="none" w:sz="0" w:space="0" w:color="auto"/>
        <w:right w:val="none" w:sz="0" w:space="0" w:color="auto"/>
      </w:divBdr>
    </w:div>
    <w:div w:id="214125894">
      <w:bodyDiv w:val="1"/>
      <w:marLeft w:val="0"/>
      <w:marRight w:val="0"/>
      <w:marTop w:val="0"/>
      <w:marBottom w:val="0"/>
      <w:divBdr>
        <w:top w:val="none" w:sz="0" w:space="0" w:color="auto"/>
        <w:left w:val="none" w:sz="0" w:space="0" w:color="auto"/>
        <w:bottom w:val="none" w:sz="0" w:space="0" w:color="auto"/>
        <w:right w:val="none" w:sz="0" w:space="0" w:color="auto"/>
      </w:divBdr>
    </w:div>
    <w:div w:id="217405007">
      <w:bodyDiv w:val="1"/>
      <w:marLeft w:val="0"/>
      <w:marRight w:val="0"/>
      <w:marTop w:val="0"/>
      <w:marBottom w:val="0"/>
      <w:divBdr>
        <w:top w:val="none" w:sz="0" w:space="0" w:color="auto"/>
        <w:left w:val="none" w:sz="0" w:space="0" w:color="auto"/>
        <w:bottom w:val="none" w:sz="0" w:space="0" w:color="auto"/>
        <w:right w:val="none" w:sz="0" w:space="0" w:color="auto"/>
      </w:divBdr>
    </w:div>
    <w:div w:id="225724625">
      <w:bodyDiv w:val="1"/>
      <w:marLeft w:val="0"/>
      <w:marRight w:val="0"/>
      <w:marTop w:val="0"/>
      <w:marBottom w:val="0"/>
      <w:divBdr>
        <w:top w:val="none" w:sz="0" w:space="0" w:color="auto"/>
        <w:left w:val="none" w:sz="0" w:space="0" w:color="auto"/>
        <w:bottom w:val="none" w:sz="0" w:space="0" w:color="auto"/>
        <w:right w:val="none" w:sz="0" w:space="0" w:color="auto"/>
      </w:divBdr>
    </w:div>
    <w:div w:id="257909371">
      <w:bodyDiv w:val="1"/>
      <w:marLeft w:val="0"/>
      <w:marRight w:val="0"/>
      <w:marTop w:val="0"/>
      <w:marBottom w:val="0"/>
      <w:divBdr>
        <w:top w:val="none" w:sz="0" w:space="0" w:color="auto"/>
        <w:left w:val="none" w:sz="0" w:space="0" w:color="auto"/>
        <w:bottom w:val="none" w:sz="0" w:space="0" w:color="auto"/>
        <w:right w:val="none" w:sz="0" w:space="0" w:color="auto"/>
      </w:divBdr>
    </w:div>
    <w:div w:id="267395965">
      <w:bodyDiv w:val="1"/>
      <w:marLeft w:val="0"/>
      <w:marRight w:val="0"/>
      <w:marTop w:val="0"/>
      <w:marBottom w:val="0"/>
      <w:divBdr>
        <w:top w:val="none" w:sz="0" w:space="0" w:color="auto"/>
        <w:left w:val="none" w:sz="0" w:space="0" w:color="auto"/>
        <w:bottom w:val="none" w:sz="0" w:space="0" w:color="auto"/>
        <w:right w:val="none" w:sz="0" w:space="0" w:color="auto"/>
      </w:divBdr>
    </w:div>
    <w:div w:id="484276517">
      <w:bodyDiv w:val="1"/>
      <w:marLeft w:val="0"/>
      <w:marRight w:val="0"/>
      <w:marTop w:val="0"/>
      <w:marBottom w:val="0"/>
      <w:divBdr>
        <w:top w:val="none" w:sz="0" w:space="0" w:color="auto"/>
        <w:left w:val="none" w:sz="0" w:space="0" w:color="auto"/>
        <w:bottom w:val="none" w:sz="0" w:space="0" w:color="auto"/>
        <w:right w:val="none" w:sz="0" w:space="0" w:color="auto"/>
      </w:divBdr>
    </w:div>
    <w:div w:id="626473253">
      <w:bodyDiv w:val="1"/>
      <w:marLeft w:val="0"/>
      <w:marRight w:val="0"/>
      <w:marTop w:val="0"/>
      <w:marBottom w:val="0"/>
      <w:divBdr>
        <w:top w:val="none" w:sz="0" w:space="0" w:color="auto"/>
        <w:left w:val="none" w:sz="0" w:space="0" w:color="auto"/>
        <w:bottom w:val="none" w:sz="0" w:space="0" w:color="auto"/>
        <w:right w:val="none" w:sz="0" w:space="0" w:color="auto"/>
      </w:divBdr>
    </w:div>
    <w:div w:id="651300433">
      <w:bodyDiv w:val="1"/>
      <w:marLeft w:val="0"/>
      <w:marRight w:val="0"/>
      <w:marTop w:val="0"/>
      <w:marBottom w:val="0"/>
      <w:divBdr>
        <w:top w:val="none" w:sz="0" w:space="0" w:color="auto"/>
        <w:left w:val="none" w:sz="0" w:space="0" w:color="auto"/>
        <w:bottom w:val="none" w:sz="0" w:space="0" w:color="auto"/>
        <w:right w:val="none" w:sz="0" w:space="0" w:color="auto"/>
      </w:divBdr>
    </w:div>
    <w:div w:id="706489167">
      <w:bodyDiv w:val="1"/>
      <w:marLeft w:val="0"/>
      <w:marRight w:val="0"/>
      <w:marTop w:val="0"/>
      <w:marBottom w:val="0"/>
      <w:divBdr>
        <w:top w:val="none" w:sz="0" w:space="0" w:color="auto"/>
        <w:left w:val="none" w:sz="0" w:space="0" w:color="auto"/>
        <w:bottom w:val="none" w:sz="0" w:space="0" w:color="auto"/>
        <w:right w:val="none" w:sz="0" w:space="0" w:color="auto"/>
      </w:divBdr>
    </w:div>
    <w:div w:id="777917629">
      <w:bodyDiv w:val="1"/>
      <w:marLeft w:val="0"/>
      <w:marRight w:val="0"/>
      <w:marTop w:val="0"/>
      <w:marBottom w:val="0"/>
      <w:divBdr>
        <w:top w:val="none" w:sz="0" w:space="0" w:color="auto"/>
        <w:left w:val="none" w:sz="0" w:space="0" w:color="auto"/>
        <w:bottom w:val="none" w:sz="0" w:space="0" w:color="auto"/>
        <w:right w:val="none" w:sz="0" w:space="0" w:color="auto"/>
      </w:divBdr>
    </w:div>
    <w:div w:id="782843931">
      <w:bodyDiv w:val="1"/>
      <w:marLeft w:val="0"/>
      <w:marRight w:val="0"/>
      <w:marTop w:val="0"/>
      <w:marBottom w:val="0"/>
      <w:divBdr>
        <w:top w:val="none" w:sz="0" w:space="0" w:color="auto"/>
        <w:left w:val="none" w:sz="0" w:space="0" w:color="auto"/>
        <w:bottom w:val="none" w:sz="0" w:space="0" w:color="auto"/>
        <w:right w:val="none" w:sz="0" w:space="0" w:color="auto"/>
      </w:divBdr>
    </w:div>
    <w:div w:id="820191524">
      <w:bodyDiv w:val="1"/>
      <w:marLeft w:val="0"/>
      <w:marRight w:val="0"/>
      <w:marTop w:val="0"/>
      <w:marBottom w:val="0"/>
      <w:divBdr>
        <w:top w:val="none" w:sz="0" w:space="0" w:color="auto"/>
        <w:left w:val="none" w:sz="0" w:space="0" w:color="auto"/>
        <w:bottom w:val="none" w:sz="0" w:space="0" w:color="auto"/>
        <w:right w:val="none" w:sz="0" w:space="0" w:color="auto"/>
      </w:divBdr>
    </w:div>
    <w:div w:id="825391440">
      <w:bodyDiv w:val="1"/>
      <w:marLeft w:val="0"/>
      <w:marRight w:val="0"/>
      <w:marTop w:val="0"/>
      <w:marBottom w:val="0"/>
      <w:divBdr>
        <w:top w:val="none" w:sz="0" w:space="0" w:color="auto"/>
        <w:left w:val="none" w:sz="0" w:space="0" w:color="auto"/>
        <w:bottom w:val="none" w:sz="0" w:space="0" w:color="auto"/>
        <w:right w:val="none" w:sz="0" w:space="0" w:color="auto"/>
      </w:divBdr>
    </w:div>
    <w:div w:id="1002778513">
      <w:bodyDiv w:val="1"/>
      <w:marLeft w:val="0"/>
      <w:marRight w:val="0"/>
      <w:marTop w:val="0"/>
      <w:marBottom w:val="0"/>
      <w:divBdr>
        <w:top w:val="none" w:sz="0" w:space="0" w:color="auto"/>
        <w:left w:val="none" w:sz="0" w:space="0" w:color="auto"/>
        <w:bottom w:val="none" w:sz="0" w:space="0" w:color="auto"/>
        <w:right w:val="none" w:sz="0" w:space="0" w:color="auto"/>
      </w:divBdr>
    </w:div>
    <w:div w:id="1167937566">
      <w:bodyDiv w:val="1"/>
      <w:marLeft w:val="0"/>
      <w:marRight w:val="0"/>
      <w:marTop w:val="0"/>
      <w:marBottom w:val="0"/>
      <w:divBdr>
        <w:top w:val="none" w:sz="0" w:space="0" w:color="auto"/>
        <w:left w:val="none" w:sz="0" w:space="0" w:color="auto"/>
        <w:bottom w:val="none" w:sz="0" w:space="0" w:color="auto"/>
        <w:right w:val="none" w:sz="0" w:space="0" w:color="auto"/>
      </w:divBdr>
      <w:divsChild>
        <w:div w:id="229198579">
          <w:marLeft w:val="0"/>
          <w:marRight w:val="0"/>
          <w:marTop w:val="0"/>
          <w:marBottom w:val="0"/>
          <w:divBdr>
            <w:top w:val="none" w:sz="0" w:space="0" w:color="auto"/>
            <w:left w:val="none" w:sz="0" w:space="0" w:color="auto"/>
            <w:bottom w:val="none" w:sz="0" w:space="0" w:color="auto"/>
            <w:right w:val="none" w:sz="0" w:space="0" w:color="auto"/>
          </w:divBdr>
        </w:div>
        <w:div w:id="532695387">
          <w:marLeft w:val="0"/>
          <w:marRight w:val="0"/>
          <w:marTop w:val="0"/>
          <w:marBottom w:val="0"/>
          <w:divBdr>
            <w:top w:val="none" w:sz="0" w:space="0" w:color="auto"/>
            <w:left w:val="none" w:sz="0" w:space="0" w:color="auto"/>
            <w:bottom w:val="none" w:sz="0" w:space="0" w:color="auto"/>
            <w:right w:val="none" w:sz="0" w:space="0" w:color="auto"/>
          </w:divBdr>
        </w:div>
        <w:div w:id="1165050400">
          <w:marLeft w:val="0"/>
          <w:marRight w:val="0"/>
          <w:marTop w:val="0"/>
          <w:marBottom w:val="0"/>
          <w:divBdr>
            <w:top w:val="none" w:sz="0" w:space="0" w:color="auto"/>
            <w:left w:val="none" w:sz="0" w:space="0" w:color="auto"/>
            <w:bottom w:val="none" w:sz="0" w:space="0" w:color="auto"/>
            <w:right w:val="none" w:sz="0" w:space="0" w:color="auto"/>
          </w:divBdr>
        </w:div>
        <w:div w:id="1313943828">
          <w:marLeft w:val="0"/>
          <w:marRight w:val="0"/>
          <w:marTop w:val="0"/>
          <w:marBottom w:val="0"/>
          <w:divBdr>
            <w:top w:val="none" w:sz="0" w:space="0" w:color="auto"/>
            <w:left w:val="none" w:sz="0" w:space="0" w:color="auto"/>
            <w:bottom w:val="none" w:sz="0" w:space="0" w:color="auto"/>
            <w:right w:val="none" w:sz="0" w:space="0" w:color="auto"/>
          </w:divBdr>
        </w:div>
        <w:div w:id="1347174540">
          <w:marLeft w:val="0"/>
          <w:marRight w:val="0"/>
          <w:marTop w:val="0"/>
          <w:marBottom w:val="0"/>
          <w:divBdr>
            <w:top w:val="none" w:sz="0" w:space="0" w:color="auto"/>
            <w:left w:val="none" w:sz="0" w:space="0" w:color="auto"/>
            <w:bottom w:val="none" w:sz="0" w:space="0" w:color="auto"/>
            <w:right w:val="none" w:sz="0" w:space="0" w:color="auto"/>
          </w:divBdr>
        </w:div>
        <w:div w:id="1462655202">
          <w:marLeft w:val="0"/>
          <w:marRight w:val="0"/>
          <w:marTop w:val="0"/>
          <w:marBottom w:val="0"/>
          <w:divBdr>
            <w:top w:val="none" w:sz="0" w:space="0" w:color="auto"/>
            <w:left w:val="none" w:sz="0" w:space="0" w:color="auto"/>
            <w:bottom w:val="none" w:sz="0" w:space="0" w:color="auto"/>
            <w:right w:val="none" w:sz="0" w:space="0" w:color="auto"/>
          </w:divBdr>
        </w:div>
        <w:div w:id="1600332209">
          <w:marLeft w:val="0"/>
          <w:marRight w:val="0"/>
          <w:marTop w:val="0"/>
          <w:marBottom w:val="0"/>
          <w:divBdr>
            <w:top w:val="none" w:sz="0" w:space="0" w:color="auto"/>
            <w:left w:val="none" w:sz="0" w:space="0" w:color="auto"/>
            <w:bottom w:val="none" w:sz="0" w:space="0" w:color="auto"/>
            <w:right w:val="none" w:sz="0" w:space="0" w:color="auto"/>
          </w:divBdr>
        </w:div>
        <w:div w:id="1658877864">
          <w:marLeft w:val="0"/>
          <w:marRight w:val="0"/>
          <w:marTop w:val="0"/>
          <w:marBottom w:val="0"/>
          <w:divBdr>
            <w:top w:val="none" w:sz="0" w:space="0" w:color="auto"/>
            <w:left w:val="none" w:sz="0" w:space="0" w:color="auto"/>
            <w:bottom w:val="none" w:sz="0" w:space="0" w:color="auto"/>
            <w:right w:val="none" w:sz="0" w:space="0" w:color="auto"/>
          </w:divBdr>
        </w:div>
        <w:div w:id="1665550359">
          <w:marLeft w:val="0"/>
          <w:marRight w:val="0"/>
          <w:marTop w:val="0"/>
          <w:marBottom w:val="0"/>
          <w:divBdr>
            <w:top w:val="none" w:sz="0" w:space="0" w:color="auto"/>
            <w:left w:val="none" w:sz="0" w:space="0" w:color="auto"/>
            <w:bottom w:val="none" w:sz="0" w:space="0" w:color="auto"/>
            <w:right w:val="none" w:sz="0" w:space="0" w:color="auto"/>
          </w:divBdr>
        </w:div>
        <w:div w:id="1697121450">
          <w:marLeft w:val="0"/>
          <w:marRight w:val="0"/>
          <w:marTop w:val="0"/>
          <w:marBottom w:val="0"/>
          <w:divBdr>
            <w:top w:val="none" w:sz="0" w:space="0" w:color="auto"/>
            <w:left w:val="none" w:sz="0" w:space="0" w:color="auto"/>
            <w:bottom w:val="none" w:sz="0" w:space="0" w:color="auto"/>
            <w:right w:val="none" w:sz="0" w:space="0" w:color="auto"/>
          </w:divBdr>
        </w:div>
        <w:div w:id="1750229398">
          <w:marLeft w:val="0"/>
          <w:marRight w:val="0"/>
          <w:marTop w:val="0"/>
          <w:marBottom w:val="0"/>
          <w:divBdr>
            <w:top w:val="none" w:sz="0" w:space="0" w:color="auto"/>
            <w:left w:val="none" w:sz="0" w:space="0" w:color="auto"/>
            <w:bottom w:val="none" w:sz="0" w:space="0" w:color="auto"/>
            <w:right w:val="none" w:sz="0" w:space="0" w:color="auto"/>
          </w:divBdr>
        </w:div>
        <w:div w:id="1766266787">
          <w:marLeft w:val="0"/>
          <w:marRight w:val="0"/>
          <w:marTop w:val="0"/>
          <w:marBottom w:val="0"/>
          <w:divBdr>
            <w:top w:val="none" w:sz="0" w:space="0" w:color="auto"/>
            <w:left w:val="none" w:sz="0" w:space="0" w:color="auto"/>
            <w:bottom w:val="none" w:sz="0" w:space="0" w:color="auto"/>
            <w:right w:val="none" w:sz="0" w:space="0" w:color="auto"/>
          </w:divBdr>
        </w:div>
        <w:div w:id="1772972719">
          <w:marLeft w:val="0"/>
          <w:marRight w:val="0"/>
          <w:marTop w:val="0"/>
          <w:marBottom w:val="0"/>
          <w:divBdr>
            <w:top w:val="none" w:sz="0" w:space="0" w:color="auto"/>
            <w:left w:val="none" w:sz="0" w:space="0" w:color="auto"/>
            <w:bottom w:val="none" w:sz="0" w:space="0" w:color="auto"/>
            <w:right w:val="none" w:sz="0" w:space="0" w:color="auto"/>
          </w:divBdr>
        </w:div>
        <w:div w:id="1816336178">
          <w:marLeft w:val="0"/>
          <w:marRight w:val="0"/>
          <w:marTop w:val="0"/>
          <w:marBottom w:val="0"/>
          <w:divBdr>
            <w:top w:val="none" w:sz="0" w:space="0" w:color="auto"/>
            <w:left w:val="none" w:sz="0" w:space="0" w:color="auto"/>
            <w:bottom w:val="none" w:sz="0" w:space="0" w:color="auto"/>
            <w:right w:val="none" w:sz="0" w:space="0" w:color="auto"/>
          </w:divBdr>
        </w:div>
        <w:div w:id="2055689637">
          <w:marLeft w:val="0"/>
          <w:marRight w:val="0"/>
          <w:marTop w:val="0"/>
          <w:marBottom w:val="0"/>
          <w:divBdr>
            <w:top w:val="none" w:sz="0" w:space="0" w:color="auto"/>
            <w:left w:val="none" w:sz="0" w:space="0" w:color="auto"/>
            <w:bottom w:val="none" w:sz="0" w:space="0" w:color="auto"/>
            <w:right w:val="none" w:sz="0" w:space="0" w:color="auto"/>
          </w:divBdr>
        </w:div>
      </w:divsChild>
    </w:div>
    <w:div w:id="1173379917">
      <w:bodyDiv w:val="1"/>
      <w:marLeft w:val="0"/>
      <w:marRight w:val="0"/>
      <w:marTop w:val="0"/>
      <w:marBottom w:val="0"/>
      <w:divBdr>
        <w:top w:val="none" w:sz="0" w:space="0" w:color="auto"/>
        <w:left w:val="none" w:sz="0" w:space="0" w:color="auto"/>
        <w:bottom w:val="none" w:sz="0" w:space="0" w:color="auto"/>
        <w:right w:val="none" w:sz="0" w:space="0" w:color="auto"/>
      </w:divBdr>
    </w:div>
    <w:div w:id="1199733680">
      <w:bodyDiv w:val="1"/>
      <w:marLeft w:val="0"/>
      <w:marRight w:val="0"/>
      <w:marTop w:val="0"/>
      <w:marBottom w:val="0"/>
      <w:divBdr>
        <w:top w:val="none" w:sz="0" w:space="0" w:color="auto"/>
        <w:left w:val="none" w:sz="0" w:space="0" w:color="auto"/>
        <w:bottom w:val="none" w:sz="0" w:space="0" w:color="auto"/>
        <w:right w:val="none" w:sz="0" w:space="0" w:color="auto"/>
      </w:divBdr>
    </w:div>
    <w:div w:id="1216819784">
      <w:bodyDiv w:val="1"/>
      <w:marLeft w:val="0"/>
      <w:marRight w:val="0"/>
      <w:marTop w:val="0"/>
      <w:marBottom w:val="0"/>
      <w:divBdr>
        <w:top w:val="none" w:sz="0" w:space="0" w:color="auto"/>
        <w:left w:val="none" w:sz="0" w:space="0" w:color="auto"/>
        <w:bottom w:val="none" w:sz="0" w:space="0" w:color="auto"/>
        <w:right w:val="none" w:sz="0" w:space="0" w:color="auto"/>
      </w:divBdr>
    </w:div>
    <w:div w:id="1282224538">
      <w:bodyDiv w:val="1"/>
      <w:marLeft w:val="0"/>
      <w:marRight w:val="0"/>
      <w:marTop w:val="0"/>
      <w:marBottom w:val="0"/>
      <w:divBdr>
        <w:top w:val="none" w:sz="0" w:space="0" w:color="auto"/>
        <w:left w:val="none" w:sz="0" w:space="0" w:color="auto"/>
        <w:bottom w:val="none" w:sz="0" w:space="0" w:color="auto"/>
        <w:right w:val="none" w:sz="0" w:space="0" w:color="auto"/>
      </w:divBdr>
    </w:div>
    <w:div w:id="1288241314">
      <w:bodyDiv w:val="1"/>
      <w:marLeft w:val="0"/>
      <w:marRight w:val="0"/>
      <w:marTop w:val="0"/>
      <w:marBottom w:val="0"/>
      <w:divBdr>
        <w:top w:val="none" w:sz="0" w:space="0" w:color="auto"/>
        <w:left w:val="none" w:sz="0" w:space="0" w:color="auto"/>
        <w:bottom w:val="none" w:sz="0" w:space="0" w:color="auto"/>
        <w:right w:val="none" w:sz="0" w:space="0" w:color="auto"/>
      </w:divBdr>
    </w:div>
    <w:div w:id="1296523561">
      <w:bodyDiv w:val="1"/>
      <w:marLeft w:val="0"/>
      <w:marRight w:val="0"/>
      <w:marTop w:val="0"/>
      <w:marBottom w:val="0"/>
      <w:divBdr>
        <w:top w:val="none" w:sz="0" w:space="0" w:color="auto"/>
        <w:left w:val="none" w:sz="0" w:space="0" w:color="auto"/>
        <w:bottom w:val="none" w:sz="0" w:space="0" w:color="auto"/>
        <w:right w:val="none" w:sz="0" w:space="0" w:color="auto"/>
      </w:divBdr>
    </w:div>
    <w:div w:id="1403484313">
      <w:bodyDiv w:val="1"/>
      <w:marLeft w:val="0"/>
      <w:marRight w:val="0"/>
      <w:marTop w:val="0"/>
      <w:marBottom w:val="0"/>
      <w:divBdr>
        <w:top w:val="none" w:sz="0" w:space="0" w:color="auto"/>
        <w:left w:val="none" w:sz="0" w:space="0" w:color="auto"/>
        <w:bottom w:val="none" w:sz="0" w:space="0" w:color="auto"/>
        <w:right w:val="none" w:sz="0" w:space="0" w:color="auto"/>
      </w:divBdr>
      <w:divsChild>
        <w:div w:id="1495224832">
          <w:marLeft w:val="0"/>
          <w:marRight w:val="0"/>
          <w:marTop w:val="0"/>
          <w:marBottom w:val="0"/>
          <w:divBdr>
            <w:top w:val="none" w:sz="0" w:space="0" w:color="auto"/>
            <w:left w:val="none" w:sz="0" w:space="0" w:color="auto"/>
            <w:bottom w:val="none" w:sz="0" w:space="0" w:color="auto"/>
            <w:right w:val="none" w:sz="0" w:space="0" w:color="auto"/>
          </w:divBdr>
          <w:divsChild>
            <w:div w:id="1657873643">
              <w:marLeft w:val="0"/>
              <w:marRight w:val="0"/>
              <w:marTop w:val="0"/>
              <w:marBottom w:val="0"/>
              <w:divBdr>
                <w:top w:val="none" w:sz="0" w:space="0" w:color="auto"/>
                <w:left w:val="none" w:sz="0" w:space="0" w:color="auto"/>
                <w:bottom w:val="none" w:sz="0" w:space="0" w:color="auto"/>
                <w:right w:val="none" w:sz="0" w:space="0" w:color="auto"/>
              </w:divBdr>
            </w:div>
          </w:divsChild>
        </w:div>
        <w:div w:id="1504587699">
          <w:marLeft w:val="0"/>
          <w:marRight w:val="0"/>
          <w:marTop w:val="0"/>
          <w:marBottom w:val="0"/>
          <w:divBdr>
            <w:top w:val="none" w:sz="0" w:space="0" w:color="auto"/>
            <w:left w:val="none" w:sz="0" w:space="0" w:color="auto"/>
            <w:bottom w:val="none" w:sz="0" w:space="0" w:color="auto"/>
            <w:right w:val="none" w:sz="0" w:space="0" w:color="auto"/>
          </w:divBdr>
          <w:divsChild>
            <w:div w:id="17896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5080">
      <w:bodyDiv w:val="1"/>
      <w:marLeft w:val="0"/>
      <w:marRight w:val="0"/>
      <w:marTop w:val="0"/>
      <w:marBottom w:val="0"/>
      <w:divBdr>
        <w:top w:val="none" w:sz="0" w:space="0" w:color="auto"/>
        <w:left w:val="none" w:sz="0" w:space="0" w:color="auto"/>
        <w:bottom w:val="none" w:sz="0" w:space="0" w:color="auto"/>
        <w:right w:val="none" w:sz="0" w:space="0" w:color="auto"/>
      </w:divBdr>
    </w:div>
    <w:div w:id="1606113369">
      <w:bodyDiv w:val="1"/>
      <w:marLeft w:val="0"/>
      <w:marRight w:val="0"/>
      <w:marTop w:val="0"/>
      <w:marBottom w:val="0"/>
      <w:divBdr>
        <w:top w:val="none" w:sz="0" w:space="0" w:color="auto"/>
        <w:left w:val="none" w:sz="0" w:space="0" w:color="auto"/>
        <w:bottom w:val="none" w:sz="0" w:space="0" w:color="auto"/>
        <w:right w:val="none" w:sz="0" w:space="0" w:color="auto"/>
      </w:divBdr>
    </w:div>
    <w:div w:id="1925262886">
      <w:bodyDiv w:val="1"/>
      <w:marLeft w:val="0"/>
      <w:marRight w:val="0"/>
      <w:marTop w:val="0"/>
      <w:marBottom w:val="0"/>
      <w:divBdr>
        <w:top w:val="none" w:sz="0" w:space="0" w:color="auto"/>
        <w:left w:val="none" w:sz="0" w:space="0" w:color="auto"/>
        <w:bottom w:val="none" w:sz="0" w:space="0" w:color="auto"/>
        <w:right w:val="none" w:sz="0" w:space="0" w:color="auto"/>
      </w:divBdr>
    </w:div>
    <w:div w:id="2047217717">
      <w:bodyDiv w:val="1"/>
      <w:marLeft w:val="0"/>
      <w:marRight w:val="0"/>
      <w:marTop w:val="0"/>
      <w:marBottom w:val="0"/>
      <w:divBdr>
        <w:top w:val="none" w:sz="0" w:space="0" w:color="auto"/>
        <w:left w:val="none" w:sz="0" w:space="0" w:color="auto"/>
        <w:bottom w:val="none" w:sz="0" w:space="0" w:color="auto"/>
        <w:right w:val="none" w:sz="0" w:space="0" w:color="auto"/>
      </w:divBdr>
      <w:divsChild>
        <w:div w:id="357049823">
          <w:marLeft w:val="0"/>
          <w:marRight w:val="0"/>
          <w:marTop w:val="0"/>
          <w:marBottom w:val="0"/>
          <w:divBdr>
            <w:top w:val="none" w:sz="0" w:space="0" w:color="auto"/>
            <w:left w:val="none" w:sz="0" w:space="0" w:color="auto"/>
            <w:bottom w:val="none" w:sz="0" w:space="0" w:color="auto"/>
            <w:right w:val="none" w:sz="0" w:space="0" w:color="auto"/>
          </w:divBdr>
        </w:div>
        <w:div w:id="883982041">
          <w:marLeft w:val="0"/>
          <w:marRight w:val="0"/>
          <w:marTop w:val="0"/>
          <w:marBottom w:val="0"/>
          <w:divBdr>
            <w:top w:val="none" w:sz="0" w:space="0" w:color="auto"/>
            <w:left w:val="none" w:sz="0" w:space="0" w:color="auto"/>
            <w:bottom w:val="none" w:sz="0" w:space="0" w:color="auto"/>
            <w:right w:val="none" w:sz="0" w:space="0" w:color="auto"/>
          </w:divBdr>
        </w:div>
        <w:div w:id="2057074030">
          <w:marLeft w:val="0"/>
          <w:marRight w:val="0"/>
          <w:marTop w:val="0"/>
          <w:marBottom w:val="0"/>
          <w:divBdr>
            <w:top w:val="none" w:sz="0" w:space="0" w:color="auto"/>
            <w:left w:val="none" w:sz="0" w:space="0" w:color="auto"/>
            <w:bottom w:val="none" w:sz="0" w:space="0" w:color="auto"/>
            <w:right w:val="none" w:sz="0" w:space="0" w:color="auto"/>
          </w:divBdr>
        </w:div>
      </w:divsChild>
    </w:div>
    <w:div w:id="2060351331">
      <w:bodyDiv w:val="1"/>
      <w:marLeft w:val="0"/>
      <w:marRight w:val="0"/>
      <w:marTop w:val="0"/>
      <w:marBottom w:val="0"/>
      <w:divBdr>
        <w:top w:val="none" w:sz="0" w:space="0" w:color="auto"/>
        <w:left w:val="none" w:sz="0" w:space="0" w:color="auto"/>
        <w:bottom w:val="none" w:sz="0" w:space="0" w:color="auto"/>
        <w:right w:val="none" w:sz="0" w:space="0" w:color="auto"/>
      </w:divBdr>
    </w:div>
    <w:div w:id="2065367312">
      <w:bodyDiv w:val="1"/>
      <w:marLeft w:val="0"/>
      <w:marRight w:val="0"/>
      <w:marTop w:val="0"/>
      <w:marBottom w:val="0"/>
      <w:divBdr>
        <w:top w:val="none" w:sz="0" w:space="0" w:color="auto"/>
        <w:left w:val="none" w:sz="0" w:space="0" w:color="auto"/>
        <w:bottom w:val="none" w:sz="0" w:space="0" w:color="auto"/>
        <w:right w:val="none" w:sz="0" w:space="0" w:color="auto"/>
      </w:divBdr>
    </w:div>
    <w:div w:id="2065719294">
      <w:bodyDiv w:val="1"/>
      <w:marLeft w:val="0"/>
      <w:marRight w:val="0"/>
      <w:marTop w:val="0"/>
      <w:marBottom w:val="0"/>
      <w:divBdr>
        <w:top w:val="none" w:sz="0" w:space="0" w:color="auto"/>
        <w:left w:val="none" w:sz="0" w:space="0" w:color="auto"/>
        <w:bottom w:val="none" w:sz="0" w:space="0" w:color="auto"/>
        <w:right w:val="none" w:sz="0" w:space="0" w:color="auto"/>
      </w:divBdr>
    </w:div>
    <w:div w:id="2143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p.gov.sk/pf/zdielane_dokumenty/Integr%C3%A1cia%20na%20UPVS/03_Integra%C4%8Dn%C3%A9%20manu%C3%A1ly/MDURZ/UPG-1-1-Integracny%20manual-MDU%20v2_4_3.docx" TargetMode="External"/><Relationship Id="rId18" Type="http://schemas.openxmlformats.org/officeDocument/2006/relationships/hyperlink" Target="https://mirri.gov.sk/wp-content/uploads/2018/10/Pravidla_Publikovania_Sluzieb_v1_0-1.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kp.gov.sk/pf/zdielane_dokumenty/Forms/AllItems.aspx?RootFolder=%2Fpf%2Fzdielane%5Fdokumenty%2FIntegr%C3%A1cia%20na%20UPVS%2F03%5FIntegra%C4%8Dn%C3%A9%20manu%C3%A1ly%2FCEP" TargetMode="External"/><Relationship Id="rId17" Type="http://schemas.openxmlformats.org/officeDocument/2006/relationships/hyperlink" Target="https://mirri.gov.sk/wp-content/uploads/2018/10/Pravidla_Publikovania_Sluzieb_v1_0-1.pdf" TargetMode="External"/><Relationship Id="rId2" Type="http://schemas.openxmlformats.org/officeDocument/2006/relationships/customXml" Target="../customXml/item2.xml"/><Relationship Id="rId16" Type="http://schemas.openxmlformats.org/officeDocument/2006/relationships/hyperlink" Target="https://www.slovensko.sk/_img/CMS4/metodicke_usmernenia/metodicke_usmernenie_registracia_KSC.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nca.gov.sk/kvalifikovane-sluzby/validacia-podpisov-pecati" TargetMode="External"/><Relationship Id="rId5" Type="http://schemas.openxmlformats.org/officeDocument/2006/relationships/numbering" Target="numbering.xml"/><Relationship Id="rId15" Type="http://schemas.openxmlformats.org/officeDocument/2006/relationships/hyperlink" Target="https://kp.gov.sk/pf/prevadzka_upvs/Intern%C3%A9%20integra%C4%8Dn%C3%A9%20manu%C3%A1ly/UPG-2-5-Integracny_manual_UPVS_CEP_INTERNAL%20-%202_6.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etais.vicepremier.gov.sk/dms/file/ff5d0271-8b51-4bcc-fce8-257bb4cee7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p.gov.sk/pf/Integrcia%20na%20SNCA/ISES1_Integracny_manual_SNCA_v1.12.docx"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EF756A-AA4C-472F-9BA6-765DDACF1D7C}">
  <ds:schemaRefs>
    <ds:schemaRef ds:uri="http://schemas.openxmlformats.org/officeDocument/2006/bibliography"/>
  </ds:schemaRefs>
</ds:datastoreItem>
</file>

<file path=customXml/itemProps2.xml><?xml version="1.0" encoding="utf-8"?>
<ds:datastoreItem xmlns:ds="http://schemas.openxmlformats.org/officeDocument/2006/customXml" ds:itemID="{A5B9E46D-4614-46B3-8D13-A1B63704F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0FD83-394F-4B0E-A808-CCB3921E1D97}">
  <ds:schemaRefs>
    <ds:schemaRef ds:uri="http://schemas.microsoft.com/sharepoint/v3/contenttype/forms"/>
  </ds:schemaRefs>
</ds:datastoreItem>
</file>

<file path=customXml/itemProps4.xml><?xml version="1.0" encoding="utf-8"?>
<ds:datastoreItem xmlns:ds="http://schemas.openxmlformats.org/officeDocument/2006/customXml" ds:itemID="{5F291CAE-3BAF-4239-AA86-84A12301E234}">
  <ds:schemaRefs>
    <ds:schemaRef ds:uri="1a9bc86e-de8b-4d6b-be6a-2b97a42ba308"/>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2b0caf88-9412-4b41-9f5c-b8ce90e0092a"/>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1151</TotalTime>
  <Pages>1</Pages>
  <Words>4067</Words>
  <Characters>23188</Characters>
  <DocSecurity>4</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27201</CharactersWithSpaces>
  <SharedDoc>false</SharedDoc>
  <HLinks>
    <vt:vector size="54" baseType="variant">
      <vt:variant>
        <vt:i4>2883681</vt:i4>
      </vt:variant>
      <vt:variant>
        <vt:i4>24</vt:i4>
      </vt:variant>
      <vt:variant>
        <vt:i4>0</vt:i4>
      </vt:variant>
      <vt:variant>
        <vt:i4>5</vt:i4>
      </vt:variant>
      <vt:variant>
        <vt:lpwstr>https://metais.vicepremier.gov.sk/dms/file/ff5d0271-8b51-4bcc-fce8-257bb4cee787</vt:lpwstr>
      </vt:variant>
      <vt:variant>
        <vt:lpwstr/>
      </vt:variant>
      <vt:variant>
        <vt:i4>262147</vt:i4>
      </vt:variant>
      <vt:variant>
        <vt:i4>21</vt:i4>
      </vt:variant>
      <vt:variant>
        <vt:i4>0</vt:i4>
      </vt:variant>
      <vt:variant>
        <vt:i4>5</vt:i4>
      </vt:variant>
      <vt:variant>
        <vt:lpwstr>https://mirri.gov.sk/wp-content/uploads/2018/10/Pravidla_Publikovania_Sluzieb_v1_0-1.pdf</vt:lpwstr>
      </vt:variant>
      <vt:variant>
        <vt:lpwstr/>
      </vt:variant>
      <vt:variant>
        <vt:i4>262147</vt:i4>
      </vt:variant>
      <vt:variant>
        <vt:i4>18</vt:i4>
      </vt:variant>
      <vt:variant>
        <vt:i4>0</vt:i4>
      </vt:variant>
      <vt:variant>
        <vt:i4>5</vt:i4>
      </vt:variant>
      <vt:variant>
        <vt:lpwstr>https://mirri.gov.sk/wp-content/uploads/2018/10/Pravidla_Publikovania_Sluzieb_v1_0-1.pdf</vt:lpwstr>
      </vt:variant>
      <vt:variant>
        <vt:lpwstr/>
      </vt:variant>
      <vt:variant>
        <vt:i4>4718652</vt:i4>
      </vt:variant>
      <vt:variant>
        <vt:i4>15</vt:i4>
      </vt:variant>
      <vt:variant>
        <vt:i4>0</vt:i4>
      </vt:variant>
      <vt:variant>
        <vt:i4>5</vt:i4>
      </vt:variant>
      <vt:variant>
        <vt:lpwstr>https://www.slovensko.sk/_img/CMS4/metodicke_usmernenia/metodicke_usmernenie_registracia_KSC.pdf</vt:lpwstr>
      </vt:variant>
      <vt:variant>
        <vt:lpwstr/>
      </vt:variant>
      <vt:variant>
        <vt:i4>6357098</vt:i4>
      </vt:variant>
      <vt:variant>
        <vt:i4>12</vt:i4>
      </vt:variant>
      <vt:variant>
        <vt:i4>0</vt:i4>
      </vt:variant>
      <vt:variant>
        <vt:i4>5</vt:i4>
      </vt:variant>
      <vt:variant>
        <vt:lpwstr>https://kp.gov.sk/pf/prevadzka_upvs/Intern%C3%A9 integra%C4%8Dn%C3%A9 manu%C3%A1ly/UPG-2-5-Integracny_manual_UPVS_CEP_INTERNAL - 2_6.docx</vt:lpwstr>
      </vt:variant>
      <vt:variant>
        <vt:lpwstr/>
      </vt:variant>
      <vt:variant>
        <vt:i4>6946941</vt:i4>
      </vt:variant>
      <vt:variant>
        <vt:i4>9</vt:i4>
      </vt:variant>
      <vt:variant>
        <vt:i4>0</vt:i4>
      </vt:variant>
      <vt:variant>
        <vt:i4>5</vt:i4>
      </vt:variant>
      <vt:variant>
        <vt:lpwstr>https://kp.gov.sk/pf/Integrcia na SNCA/ISES1_Integracny_manual_SNCA_v1.12.docx</vt:lpwstr>
      </vt:variant>
      <vt:variant>
        <vt:lpwstr/>
      </vt:variant>
      <vt:variant>
        <vt:i4>6750309</vt:i4>
      </vt:variant>
      <vt:variant>
        <vt:i4>6</vt:i4>
      </vt:variant>
      <vt:variant>
        <vt:i4>0</vt:i4>
      </vt:variant>
      <vt:variant>
        <vt:i4>5</vt:i4>
      </vt:variant>
      <vt:variant>
        <vt:lpwstr>https://kp.gov.sk/pf/zdielane_dokumenty/Integr%C3%A1cia na UPVS/03_Integra%C4%8Dn%C3%A9 manu%C3%A1ly/MDURZ/UPG-1-1-Integracny manual-MDU v2_4_3.docx</vt:lpwstr>
      </vt:variant>
      <vt:variant>
        <vt:lpwstr/>
      </vt:variant>
      <vt:variant>
        <vt:i4>5767206</vt:i4>
      </vt:variant>
      <vt:variant>
        <vt:i4>3</vt:i4>
      </vt:variant>
      <vt:variant>
        <vt:i4>0</vt:i4>
      </vt:variant>
      <vt:variant>
        <vt:i4>5</vt:i4>
      </vt:variant>
      <vt:variant>
        <vt:lpwstr>https://kp.gov.sk/pf/zdielane_dokumenty/Forms/AllItems.aspx?RootFolder=%2Fpf%2Fzdielane%5Fdokumenty%2FIntegr%C3%A1cia%20na%20UPVS%2F03%5FIntegra%C4%8Dn%C3%A9%20manu%C3%A1ly%2FCEP</vt:lpwstr>
      </vt:variant>
      <vt:variant>
        <vt:lpwstr/>
      </vt:variant>
      <vt:variant>
        <vt:i4>3145774</vt:i4>
      </vt:variant>
      <vt:variant>
        <vt:i4>0</vt:i4>
      </vt:variant>
      <vt:variant>
        <vt:i4>0</vt:i4>
      </vt:variant>
      <vt:variant>
        <vt:i4>5</vt:i4>
      </vt:variant>
      <vt:variant>
        <vt:lpwstr>https://snca.gov.sk/kvalifikovane-sluzby/validacia-podpisov-pecati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2022-04-16T18:30:00Z</cp:lastPrinted>
  <dcterms:created xsi:type="dcterms:W3CDTF">2024-09-26T16:12:00Z</dcterms:created>
  <dcterms:modified xsi:type="dcterms:W3CDTF">2024-12-02T12:22:00Z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