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3137DC21"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F9077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F90776">
        <w:rPr>
          <w:rFonts w:ascii="Tahoma" w:hAnsi="Tahoma" w:cs="Tahoma"/>
          <w:bCs/>
          <w:highlight w:val="yellow"/>
        </w:rPr>
        <w:t>]</w:t>
      </w:r>
    </w:p>
    <w:p w14:paraId="51929829" w14:textId="2FBF90E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6B50BD" w:rsidRPr="006B50BD">
        <w:rPr>
          <w:rFonts w:ascii="Tahoma" w:hAnsi="Tahoma" w:cs="Tahoma"/>
          <w:i/>
          <w:iCs/>
          <w:sz w:val="20"/>
          <w:szCs w:val="20"/>
        </w:rPr>
        <w:t>1</w:t>
      </w:r>
      <w:r w:rsidR="008D069A">
        <w:rPr>
          <w:rFonts w:ascii="Tahoma" w:hAnsi="Tahoma" w:cs="Tahoma"/>
          <w:i/>
          <w:iCs/>
          <w:sz w:val="20"/>
          <w:szCs w:val="20"/>
        </w:rPr>
        <w:t>507</w:t>
      </w:r>
      <w:r w:rsidR="006B50BD" w:rsidRPr="006B50BD">
        <w:rPr>
          <w:rFonts w:ascii="Tahoma" w:hAnsi="Tahoma" w:cs="Tahoma"/>
          <w:i/>
          <w:iCs/>
          <w:sz w:val="20"/>
          <w:szCs w:val="20"/>
        </w:rPr>
        <w:t>/2024/ODDIP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F90776">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F90776">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9077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F90776">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F9077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F90776">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9077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F90776">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9077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F90776">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F90776">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F90776">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90776">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F90776">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F9077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F90776">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D86C11">
        <w:rPr>
          <w:rFonts w:ascii="Tahoma" w:hAnsi="Tahoma" w:cs="Tahoma"/>
          <w:bCs/>
        </w:rPr>
        <w:t xml:space="preserve">Stredná odborná škola, Generála </w:t>
      </w:r>
      <w:proofErr w:type="spellStart"/>
      <w:r w:rsidR="00125B54" w:rsidRPr="00D86C11">
        <w:rPr>
          <w:rFonts w:ascii="Tahoma" w:hAnsi="Tahoma" w:cs="Tahoma"/>
          <w:bCs/>
        </w:rPr>
        <w:t>Viesta</w:t>
      </w:r>
      <w:proofErr w:type="spellEnd"/>
      <w:r w:rsidR="00125B54" w:rsidRPr="00D86C11">
        <w:rPr>
          <w:rFonts w:ascii="Tahoma" w:hAnsi="Tahoma" w:cs="Tahoma"/>
          <w:bCs/>
        </w:rPr>
        <w:t xml:space="preserve"> 6, Revúca</w:t>
      </w:r>
      <w:r w:rsidR="00346FC9" w:rsidRPr="00D86C11">
        <w:rPr>
          <w:rFonts w:ascii="Tahoma" w:hAnsi="Tahoma" w:cs="Tahoma"/>
          <w:bCs/>
        </w:rPr>
        <w:t>,</w:t>
      </w:r>
      <w:r w:rsidR="00CA3231" w:rsidRPr="00D86C11">
        <w:rPr>
          <w:rFonts w:ascii="Tahoma" w:hAnsi="Tahoma" w:cs="Tahoma"/>
          <w:bCs/>
        </w:rPr>
        <w:t xml:space="preserve"> so sídlom Generála </w:t>
      </w:r>
      <w:proofErr w:type="spellStart"/>
      <w:r w:rsidR="00CA3231" w:rsidRPr="00D86C11">
        <w:rPr>
          <w:rFonts w:ascii="Tahoma" w:hAnsi="Tahoma" w:cs="Tahoma"/>
          <w:bCs/>
        </w:rPr>
        <w:t>Viesta</w:t>
      </w:r>
      <w:proofErr w:type="spellEnd"/>
      <w:r w:rsidR="00CA3231" w:rsidRPr="00D86C11">
        <w:rPr>
          <w:rFonts w:ascii="Tahoma" w:hAnsi="Tahoma" w:cs="Tahoma"/>
          <w:bCs/>
        </w:rPr>
        <w:t xml:space="preserve"> 6, </w:t>
      </w:r>
      <w:r w:rsidR="00B945C2" w:rsidRPr="00D86C11">
        <w:rPr>
          <w:rFonts w:ascii="Tahoma" w:hAnsi="Tahoma" w:cs="Tahoma"/>
          <w:bCs/>
        </w:rPr>
        <w:t xml:space="preserve">050 01 </w:t>
      </w:r>
      <w:r w:rsidR="00CA3231" w:rsidRPr="00D86C11">
        <w:rPr>
          <w:rFonts w:ascii="Tahoma" w:hAnsi="Tahoma" w:cs="Tahoma"/>
          <w:bCs/>
        </w:rPr>
        <w:t>Revúca</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282C297E"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r w:rsidR="001619B1" w:rsidRPr="00D86C11">
              <w:rPr>
                <w:rFonts w:ascii="Tahoma" w:hAnsi="Tahoma" w:cs="Tahoma"/>
                <w:bCs/>
              </w:rPr>
              <w:t>]</w:t>
            </w:r>
          </w:p>
        </w:tc>
      </w:tr>
      <w:tr w:rsidR="00224737" w:rsidRPr="00752FC6" w14:paraId="0D6B6117" w14:textId="77777777" w:rsidTr="275BB339">
        <w:tc>
          <w:tcPr>
            <w:tcW w:w="4531" w:type="dxa"/>
          </w:tcPr>
          <w:p w14:paraId="4991D53D" w14:textId="2DE7300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B75D04">
              <w:rPr>
                <w:rFonts w:ascii="Tahoma" w:hAnsi="Tahoma" w:cs="Tahoma"/>
                <w:color w:val="000000" w:themeColor="text1"/>
              </w:rPr>
              <w:t xml:space="preserve"> </w:t>
            </w:r>
            <w:r w:rsidRPr="00752FC6">
              <w:rPr>
                <w:rFonts w:ascii="Tahoma" w:hAnsi="Tahoma" w:cs="Tahoma"/>
                <w:color w:val="000000" w:themeColor="text1"/>
              </w:rPr>
              <w:t>20</w:t>
            </w:r>
            <w:r w:rsidR="00B75D0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7ED3A0B5" w:rsidR="00D970D3" w:rsidRPr="003E71B6" w:rsidRDefault="00163F40" w:rsidP="00D970D3">
            <w:pPr>
              <w:adjustRightInd w:val="0"/>
              <w:spacing w:after="120"/>
              <w:rPr>
                <w:rFonts w:ascii="Tahoma" w:hAnsi="Tahoma" w:cs="Tahoma"/>
                <w:highlight w:val="yellow"/>
              </w:rPr>
            </w:pPr>
            <w:r w:rsidRPr="0073055D">
              <w:rPr>
                <w:rFonts w:ascii="Tahoma" w:hAnsi="Tahoma" w:cs="Tahoma"/>
                <w:i/>
                <w:iCs/>
                <w:color w:val="000000"/>
              </w:rPr>
              <w:t>1142/2024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3737172B"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8E6CCF" w:rsidRPr="00F90776">
        <w:rPr>
          <w:rFonts w:ascii="Tahoma" w:eastAsia="Wingdings" w:hAnsi="Tahoma" w:cs="Tahoma"/>
          <w:bCs/>
        </w:rPr>
        <w:t xml:space="preserve">Učebné pomôcky </w:t>
      </w:r>
      <w:r w:rsidR="001C2DC4" w:rsidRPr="00F90776">
        <w:rPr>
          <w:rFonts w:ascii="Tahoma" w:eastAsia="Wingdings" w:hAnsi="Tahoma" w:cs="Tahoma"/>
          <w:bCs/>
        </w:rPr>
        <w:t>pre obnoviteľné zdroje</w:t>
      </w:r>
      <w:r w:rsidR="00D7547F" w:rsidRPr="00F90776">
        <w:rPr>
          <w:rFonts w:ascii="Tahoma" w:eastAsia="Wingdings" w:hAnsi="Tahoma" w:cs="Tahoma"/>
          <w:bCs/>
        </w:rPr>
        <w:t xml:space="preserve"> pre SOŠ Revúca</w:t>
      </w:r>
      <w:r w:rsidR="00F90776">
        <w:rPr>
          <w:rFonts w:ascii="Tahoma" w:hAnsi="Tahoma" w:cs="Tahoma"/>
        </w:rPr>
        <w:t>“</w:t>
      </w:r>
      <w:r w:rsidRPr="4944E588">
        <w:rPr>
          <w:rFonts w:ascii="Tahoma" w:hAnsi="Tahoma" w:cs="Tahoma"/>
        </w:rPr>
        <w:t xml:space="preserve">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F90776">
        <w:rPr>
          <w:rFonts w:ascii="Tahoma" w:hAnsi="Tahoma" w:cs="Tahoma"/>
          <w:bCs/>
        </w:rPr>
        <w:t>o</w:t>
      </w:r>
      <w:r w:rsidR="00DC7B71" w:rsidRPr="00F90776">
        <w:rPr>
          <w:rFonts w:ascii="Tahoma" w:hAnsi="Tahoma" w:cs="Tahoma"/>
          <w:bCs/>
        </w:rPr>
        <w:t>bstaranie materiálno</w:t>
      </w:r>
      <w:r w:rsidR="00D206CA" w:rsidRPr="00F90776">
        <w:rPr>
          <w:rFonts w:ascii="Tahoma" w:hAnsi="Tahoma" w:cs="Tahoma"/>
          <w:bCs/>
        </w:rPr>
        <w:t xml:space="preserve"> </w:t>
      </w:r>
      <w:r w:rsidR="00DC7B71" w:rsidRPr="00F90776">
        <w:rPr>
          <w:rFonts w:ascii="Tahoma" w:hAnsi="Tahoma" w:cs="Tahoma"/>
          <w:bCs/>
        </w:rPr>
        <w:t>-</w:t>
      </w:r>
      <w:r w:rsidR="00D206CA" w:rsidRPr="00F90776">
        <w:rPr>
          <w:rFonts w:ascii="Tahoma" w:hAnsi="Tahoma" w:cs="Tahoma"/>
          <w:bCs/>
        </w:rPr>
        <w:t xml:space="preserve"> </w:t>
      </w:r>
      <w:r w:rsidR="00DC7B71" w:rsidRPr="00F90776">
        <w:rPr>
          <w:rFonts w:ascii="Tahoma" w:hAnsi="Tahoma" w:cs="Tahoma"/>
          <w:bCs/>
        </w:rPr>
        <w:t>technického vybavenia pre účely vzdelávania</w:t>
      </w:r>
      <w:r w:rsidR="00AE4E39" w:rsidRPr="00F90776">
        <w:rPr>
          <w:rFonts w:ascii="Tahoma" w:hAnsi="Tahoma" w:cs="Tahoma"/>
          <w:bCs/>
        </w:rPr>
        <w:t xml:space="preserve"> na SOŠ Revúca</w:t>
      </w:r>
      <w:r w:rsidRPr="00650E4E">
        <w:rPr>
          <w:rFonts w:ascii="Tahoma" w:hAnsi="Tahoma" w:cs="Tahoma"/>
        </w:rPr>
        <w:t>.</w:t>
      </w:r>
    </w:p>
    <w:p w14:paraId="366B0E0E" w14:textId="10B73DF8" w:rsidR="00FF4079" w:rsidRPr="00F90776"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F90776">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F90776">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F90776">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F90776">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F9077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F90776">
        <w:rPr>
          <w:rFonts w:ascii="Tahoma" w:hAnsi="Tahoma" w:cs="Tahoma"/>
          <w:bCs/>
          <w:highlight w:val="yellow"/>
        </w:rPr>
        <w:t>]</w:t>
      </w:r>
      <w:r w:rsidR="00552F19" w:rsidRPr="00F90776"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F9077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F90776">
        <w:rPr>
          <w:rFonts w:ascii="Tahoma" w:hAnsi="Tahoma" w:cs="Tahoma"/>
          <w:bCs/>
          <w:highlight w:val="yellow"/>
        </w:rPr>
        <w:t>]</w:t>
      </w:r>
      <w:r w:rsidR="00552F19" w:rsidRPr="00F90776"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F9077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F90776">
        <w:rPr>
          <w:rFonts w:ascii="Tahoma" w:hAnsi="Tahoma" w:cs="Tahoma"/>
          <w:bCs/>
          <w:highlight w:val="yellow"/>
        </w:rPr>
        <w:t>]</w:t>
      </w:r>
      <w:r w:rsidR="00552F19" w:rsidRPr="00F90776"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F9077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F90776">
        <w:rPr>
          <w:rFonts w:ascii="Tahoma" w:hAnsi="Tahoma" w:cs="Tahoma"/>
          <w:bCs/>
          <w:highlight w:val="yellow"/>
        </w:rPr>
        <w:t>]</w:t>
      </w:r>
      <w:r w:rsidR="00552F19" w:rsidRPr="00F90776" w:rsidDel="00552F19">
        <w:rPr>
          <w:rFonts w:ascii="Tahoma" w:hAnsi="Tahoma" w:cs="Tahoma"/>
          <w:highlight w:val="yellow"/>
        </w:rPr>
        <w:t xml:space="preserve"> </w:t>
      </w:r>
      <w:r w:rsidR="00FF4079" w:rsidRPr="00F90776">
        <w:rPr>
          <w:rFonts w:ascii="Tahoma" w:hAnsi="Tahoma" w:cs="Tahoma"/>
          <w:highlight w:val="yellow"/>
        </w:rPr>
        <w:t>d</w:t>
      </w:r>
      <w:r w:rsidR="00FF4079" w:rsidRPr="275BB339">
        <w:rPr>
          <w:rFonts w:ascii="Tahoma" w:hAnsi="Tahoma" w:cs="Tahoma"/>
          <w:highlight w:val="yellow"/>
        </w:rPr>
        <w:t xml:space="preserve">ňa </w:t>
      </w:r>
      <w:r w:rsidR="00552F19" w:rsidRPr="00F90776">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F90776">
        <w:rPr>
          <w:rFonts w:ascii="Tahoma" w:hAnsi="Tahoma" w:cs="Tahoma"/>
          <w:bCs/>
          <w:highlight w:val="yellow"/>
        </w:rPr>
        <w:t>]</w:t>
      </w:r>
      <w:r w:rsidR="00FF4079" w:rsidRPr="00F90776">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w:t>
      </w:r>
      <w:r w:rsidRPr="00752FC6">
        <w:rPr>
          <w:rFonts w:ascii="Tahoma" w:hAnsi="Tahoma" w:cs="Tahoma"/>
        </w:rPr>
        <w:lastRenderedPageBreak/>
        <w:t>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F90776">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F90776">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w:t>
      </w:r>
      <w:r w:rsidR="00D970D3" w:rsidRPr="00752FC6">
        <w:rPr>
          <w:rFonts w:ascii="Tahoma" w:hAnsi="Tahoma" w:cs="Tahoma"/>
        </w:rPr>
        <w:lastRenderedPageBreak/>
        <w:t>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lastRenderedPageBreak/>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3F115D5"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964703" w:rsidRPr="00F90776">
        <w:rPr>
          <w:rFonts w:ascii="Tahoma" w:hAnsi="Tahoma" w:cs="Tahoma"/>
          <w:b/>
        </w:rPr>
        <w:t>60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w:t>
      </w:r>
      <w:r w:rsidRPr="00752FC6">
        <w:rPr>
          <w:rFonts w:ascii="Tahoma" w:hAnsi="Tahoma" w:cs="Tahoma"/>
          <w:lang w:eastAsia="en-US"/>
        </w:rPr>
        <w:lastRenderedPageBreak/>
        <w:t>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F90776">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F90776">
        <w:rPr>
          <w:rFonts w:ascii="Tahoma" w:hAnsi="Tahoma" w:cs="Tahoma"/>
          <w:bCs/>
          <w:highlight w:val="yellow"/>
          <w:lang w:val="pl-PL"/>
        </w:rPr>
        <w:t>]</w:t>
      </w:r>
      <w:r w:rsidRPr="00F90776">
        <w:rPr>
          <w:rFonts w:ascii="Tahoma" w:hAnsi="Tahoma" w:cs="Tahoma"/>
          <w:bCs/>
          <w:lang w:val="pl-PL"/>
        </w:rPr>
        <w:t xml:space="preserve"> </w:t>
      </w:r>
      <w:proofErr w:type="spellStart"/>
      <w:r w:rsidRPr="00F90776">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F90776">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F90776">
        <w:rPr>
          <w:rFonts w:ascii="Tahoma" w:hAnsi="Tahoma" w:cs="Tahoma"/>
          <w:bCs/>
          <w:highlight w:val="yellow"/>
          <w:lang w:val="pl-PL"/>
        </w:rPr>
        <w:t>]</w:t>
      </w:r>
      <w:r w:rsidRPr="00F90776">
        <w:rPr>
          <w:rFonts w:ascii="Tahoma" w:hAnsi="Tahoma" w:cs="Tahoma"/>
          <w:bCs/>
          <w:lang w:val="pl-PL"/>
        </w:rPr>
        <w:t xml:space="preserve"> </w:t>
      </w:r>
      <w:proofErr w:type="spellStart"/>
      <w:r w:rsidRPr="00F90776">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w:t>
      </w:r>
      <w:r w:rsidRPr="00752FC6">
        <w:rPr>
          <w:rFonts w:ascii="Tahoma" w:hAnsi="Tahoma" w:cs="Tahoma"/>
          <w:color w:val="000000"/>
        </w:rPr>
        <w:lastRenderedPageBreak/>
        <w:t xml:space="preserve">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 xml:space="preserve">Ing. Dáša </w:t>
            </w:r>
            <w:proofErr w:type="spellStart"/>
            <w:r w:rsidRPr="00D86C11">
              <w:rPr>
                <w:rFonts w:ascii="Tahoma" w:hAnsi="Tahoma" w:cs="Tahoma"/>
                <w:bCs/>
                <w:sz w:val="18"/>
                <w:szCs w:val="18"/>
              </w:rPr>
              <w:t>Korimová</w:t>
            </w:r>
            <w:proofErr w:type="spellEnd"/>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A24AC4"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9D3DFE">
        <w:rPr>
          <w:rFonts w:ascii="Tahoma" w:hAnsi="Tahoma" w:cs="Tahoma"/>
          <w:sz w:val="22"/>
          <w:szCs w:val="22"/>
        </w:rPr>
        <w:t xml:space="preserve"> a cenová kalkulácia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24E41C32"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r>
      <w:r w:rsidR="00D16595">
        <w:rPr>
          <w:rFonts w:ascii="Tahoma" w:hAnsi="Tahoma" w:cs="Tahoma"/>
          <w:sz w:val="22"/>
          <w:szCs w:val="22"/>
        </w:rPr>
        <w:t>Návrh na plnenie kritéria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895BE" w14:textId="77777777" w:rsidR="00945C45" w:rsidRDefault="00945C45" w:rsidP="00D044A0">
      <w:r>
        <w:separator/>
      </w:r>
    </w:p>
  </w:endnote>
  <w:endnote w:type="continuationSeparator" w:id="0">
    <w:p w14:paraId="1F0C5BDB" w14:textId="77777777" w:rsidR="00945C45" w:rsidRDefault="00945C45" w:rsidP="00D044A0">
      <w:r>
        <w:continuationSeparator/>
      </w:r>
    </w:p>
  </w:endnote>
  <w:endnote w:type="continuationNotice" w:id="1">
    <w:p w14:paraId="265F5395" w14:textId="77777777" w:rsidR="00945C45" w:rsidRDefault="00945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0CDE2" w14:textId="77777777" w:rsidR="00945C45" w:rsidRDefault="00945C45" w:rsidP="00D044A0">
      <w:r>
        <w:separator/>
      </w:r>
    </w:p>
  </w:footnote>
  <w:footnote w:type="continuationSeparator" w:id="0">
    <w:p w14:paraId="1DB23CEA" w14:textId="77777777" w:rsidR="00945C45" w:rsidRDefault="00945C45" w:rsidP="00D044A0">
      <w:r>
        <w:continuationSeparator/>
      </w:r>
    </w:p>
  </w:footnote>
  <w:footnote w:type="continuationNotice" w:id="1">
    <w:p w14:paraId="3F1F0797" w14:textId="77777777" w:rsidR="00945C45" w:rsidRDefault="00945C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3F40"/>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2DC4"/>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4201"/>
    <w:rsid w:val="00285629"/>
    <w:rsid w:val="00292360"/>
    <w:rsid w:val="00293455"/>
    <w:rsid w:val="00295395"/>
    <w:rsid w:val="00295A16"/>
    <w:rsid w:val="002A04B1"/>
    <w:rsid w:val="002A2438"/>
    <w:rsid w:val="002B1684"/>
    <w:rsid w:val="002B3E4B"/>
    <w:rsid w:val="002B4209"/>
    <w:rsid w:val="002B65C7"/>
    <w:rsid w:val="002C2541"/>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341C1"/>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C6BE9"/>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519E"/>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C51F0"/>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3055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069A"/>
    <w:rsid w:val="008E1198"/>
    <w:rsid w:val="008E3350"/>
    <w:rsid w:val="008E6CCF"/>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45C45"/>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3DFE"/>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10AB"/>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5D04"/>
    <w:rsid w:val="00B760A0"/>
    <w:rsid w:val="00B80CC1"/>
    <w:rsid w:val="00B81049"/>
    <w:rsid w:val="00B81DA5"/>
    <w:rsid w:val="00B87C10"/>
    <w:rsid w:val="00B908ED"/>
    <w:rsid w:val="00B90A62"/>
    <w:rsid w:val="00B928A8"/>
    <w:rsid w:val="00B92EE0"/>
    <w:rsid w:val="00B945C2"/>
    <w:rsid w:val="00B9528E"/>
    <w:rsid w:val="00BA34B0"/>
    <w:rsid w:val="00BA4A59"/>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0E43"/>
    <w:rsid w:val="00CD28E9"/>
    <w:rsid w:val="00CD7786"/>
    <w:rsid w:val="00CD78FF"/>
    <w:rsid w:val="00CD7F9F"/>
    <w:rsid w:val="00CE6A70"/>
    <w:rsid w:val="00CF0DFF"/>
    <w:rsid w:val="00CF1C33"/>
    <w:rsid w:val="00CF4B2C"/>
    <w:rsid w:val="00CF56D7"/>
    <w:rsid w:val="00D01F43"/>
    <w:rsid w:val="00D02289"/>
    <w:rsid w:val="00D044A0"/>
    <w:rsid w:val="00D054A9"/>
    <w:rsid w:val="00D16595"/>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17923"/>
    <w:rsid w:val="00E221EF"/>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EF8"/>
    <w:rsid w:val="00E822FA"/>
    <w:rsid w:val="00E85FB3"/>
    <w:rsid w:val="00E87B45"/>
    <w:rsid w:val="00E87EE9"/>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1B44"/>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776"/>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916"/>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9177</Words>
  <Characters>52311</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19</cp:revision>
  <cp:lastPrinted>2023-02-09T12:24:00Z</cp:lastPrinted>
  <dcterms:created xsi:type="dcterms:W3CDTF">2024-10-09T08:56:00Z</dcterms:created>
  <dcterms:modified xsi:type="dcterms:W3CDTF">2024-12-18T10:32:00Z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