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669F7CFE"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3B3FA2">
        <w:rPr>
          <w:rFonts w:ascii="Times New Roman" w:eastAsia="Times New Roman" w:hAnsi="Times New Roman" w:cs="Times New Roman"/>
          <w:b/>
          <w:sz w:val="22"/>
          <w:szCs w:val="22"/>
          <w:lang w:eastAsia="sk-SK"/>
        </w:rPr>
        <w:t>TRNA</w:t>
      </w:r>
      <w:r w:rsidR="00835768">
        <w:rPr>
          <w:rFonts w:ascii="Times New Roman" w:eastAsia="Times New Roman" w:hAnsi="Times New Roman" w:cs="Times New Roman"/>
          <w:b/>
          <w:sz w:val="22"/>
          <w:szCs w:val="22"/>
          <w:lang w:eastAsia="sk-SK"/>
        </w:rPr>
        <w:t>VSKÝ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2F854052" w:rsidR="00A72083" w:rsidRPr="00BD773A"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na takúto zákazku</w:t>
      </w:r>
      <w:r w:rsidR="006E1CB6" w:rsidRPr="00AD6EAC">
        <w:rPr>
          <w:rFonts w:ascii="Times New Roman" w:eastAsia="Times New Roman" w:hAnsi="Times New Roman" w:cs="Times New Roman"/>
          <w:bCs w:val="0"/>
          <w:sz w:val="22"/>
          <w:szCs w:val="22"/>
          <w:lang w:eastAsia="sk-SK"/>
        </w:rPr>
        <w:t xml:space="preserve"> </w:t>
      </w:r>
      <w:r w:rsidR="006E1CB6" w:rsidRPr="00BD773A">
        <w:rPr>
          <w:rFonts w:ascii="Times New Roman" w:eastAsia="Times New Roman" w:hAnsi="Times New Roman" w:cs="Times New Roman"/>
          <w:bCs w:val="0"/>
          <w:sz w:val="22"/>
          <w:szCs w:val="22"/>
          <w:lang w:eastAsia="sk-SK"/>
        </w:rPr>
        <w:t xml:space="preserve">bolo vyhlásené </w:t>
      </w:r>
      <w:bookmarkEnd w:id="8"/>
      <w:r w:rsidR="004A764B" w:rsidRPr="00BD773A">
        <w:rPr>
          <w:rFonts w:ascii="Times New Roman" w:eastAsia="Times New Roman" w:hAnsi="Times New Roman" w:cs="Times New Roman"/>
          <w:bCs w:val="0"/>
          <w:sz w:val="22"/>
          <w:szCs w:val="22"/>
          <w:lang w:eastAsia="sk-SK"/>
        </w:rPr>
        <w:t xml:space="preserve">v Dodatku k Úradnému vestníku Európskej únie zo dňa </w:t>
      </w:r>
      <w:r w:rsidR="00BD773A" w:rsidRPr="00BD773A">
        <w:rPr>
          <w:rFonts w:ascii="Times New Roman" w:eastAsia="Times New Roman" w:hAnsi="Times New Roman" w:cs="Times New Roman"/>
          <w:bCs w:val="0"/>
          <w:sz w:val="22"/>
          <w:szCs w:val="22"/>
          <w:lang w:eastAsia="sk-SK"/>
        </w:rPr>
        <w:t>31.12.2024</w:t>
      </w:r>
      <w:r w:rsidR="004A764B" w:rsidRPr="00BD773A">
        <w:rPr>
          <w:rFonts w:ascii="Times New Roman" w:eastAsia="Times New Roman" w:hAnsi="Times New Roman" w:cs="Times New Roman"/>
          <w:bCs w:val="0"/>
          <w:sz w:val="22"/>
          <w:szCs w:val="22"/>
          <w:lang w:eastAsia="sk-SK"/>
        </w:rPr>
        <w:t xml:space="preserve"> pod číslom uverejnenia oznámenia</w:t>
      </w:r>
      <w:r w:rsidR="00BD773A" w:rsidRPr="00BD773A">
        <w:rPr>
          <w:rFonts w:ascii="Times New Roman" w:eastAsia="Times New Roman" w:hAnsi="Times New Roman" w:cs="Times New Roman"/>
          <w:bCs w:val="0"/>
          <w:sz w:val="22"/>
          <w:szCs w:val="22"/>
          <w:lang w:eastAsia="sk-SK"/>
        </w:rPr>
        <w:t xml:space="preserve"> 801185-2024</w:t>
      </w:r>
      <w:r w:rsidR="004A764B" w:rsidRPr="00BD773A">
        <w:rPr>
          <w:rFonts w:ascii="Times New Roman" w:eastAsia="Times New Roman" w:hAnsi="Times New Roman" w:cs="Times New Roman"/>
          <w:bCs w:val="0"/>
          <w:sz w:val="22"/>
          <w:szCs w:val="22"/>
          <w:lang w:eastAsia="sk-SK"/>
        </w:rPr>
        <w:t xml:space="preserve">číslo vydania série S úradného vestníka </w:t>
      </w:r>
      <w:r w:rsidR="00BD773A" w:rsidRPr="00BD773A">
        <w:rPr>
          <w:rFonts w:ascii="Times New Roman" w:eastAsia="Times New Roman" w:hAnsi="Times New Roman" w:cs="Times New Roman"/>
          <w:bCs w:val="0"/>
          <w:sz w:val="22"/>
          <w:szCs w:val="22"/>
          <w:lang w:eastAsia="sk-SK"/>
        </w:rPr>
        <w:t>253/2024</w:t>
      </w:r>
      <w:r w:rsidR="005D1BE0" w:rsidRPr="00BD773A">
        <w:rPr>
          <w:rFonts w:ascii="Times New Roman" w:eastAsia="Times New Roman" w:hAnsi="Times New Roman" w:cs="Times New Roman"/>
          <w:sz w:val="22"/>
          <w:szCs w:val="22"/>
          <w:lang w:eastAsia="sk-SK"/>
        </w:rPr>
        <w:t xml:space="preserve"> postupom verejnej súťaže podľa § 66 Zákona o verejnom obstarávaní</w:t>
      </w:r>
      <w:r w:rsidR="00FB41C7" w:rsidRPr="00BD773A">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 w:name="_GoBack"/>
      <w:bookmarkEnd w:id="9"/>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440F8" w14:textId="77777777" w:rsidR="008773CB" w:rsidRDefault="008773CB" w:rsidP="00230CE9">
      <w:pPr>
        <w:spacing w:after="0"/>
      </w:pPr>
      <w:r>
        <w:separator/>
      </w:r>
    </w:p>
  </w:endnote>
  <w:endnote w:type="continuationSeparator" w:id="0">
    <w:p w14:paraId="0CBC73C1" w14:textId="77777777" w:rsidR="008773CB" w:rsidRDefault="008773CB" w:rsidP="00230CE9">
      <w:pPr>
        <w:spacing w:after="0"/>
      </w:pPr>
      <w:r>
        <w:continuationSeparator/>
      </w:r>
    </w:p>
  </w:endnote>
  <w:endnote w:type="continuationNotice" w:id="1">
    <w:p w14:paraId="138BAE1C" w14:textId="77777777" w:rsidR="008773CB" w:rsidRDefault="00877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F8BE" w14:textId="77777777" w:rsidR="008773CB" w:rsidRDefault="008773CB" w:rsidP="00230CE9">
      <w:pPr>
        <w:spacing w:after="0"/>
      </w:pPr>
      <w:r>
        <w:separator/>
      </w:r>
    </w:p>
  </w:footnote>
  <w:footnote w:type="continuationSeparator" w:id="0">
    <w:p w14:paraId="29CCF578" w14:textId="77777777" w:rsidR="008773CB" w:rsidRDefault="008773CB" w:rsidP="00230CE9">
      <w:pPr>
        <w:spacing w:after="0"/>
      </w:pPr>
      <w:r>
        <w:continuationSeparator/>
      </w:r>
    </w:p>
  </w:footnote>
  <w:footnote w:type="continuationNotice" w:id="1">
    <w:p w14:paraId="74CDC83D" w14:textId="77777777" w:rsidR="008773CB" w:rsidRDefault="008773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3FA2"/>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A764B"/>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A3F"/>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773CB"/>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D773A"/>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1B9"/>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4E4F0F72-DEEA-4D31-80A3-F3E52BF9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21015</Words>
  <Characters>119786</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8</cp:revision>
  <cp:lastPrinted>2024-12-18T14:19:00Z</cp:lastPrinted>
  <dcterms:created xsi:type="dcterms:W3CDTF">2024-12-29T14:43:00Z</dcterms:created>
  <dcterms:modified xsi:type="dcterms:W3CDTF">2024-12-31T11:14:00Z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