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72E8672F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5B66701A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</w:p>
    <w:p w14:paraId="0029F879" w14:textId="49555470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4EF30EB8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b/>
          <w:bCs/>
          <w:sz w:val="22"/>
          <w:szCs w:val="22"/>
        </w:rPr>
        <w:t>Kupujúci: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b/>
          <w:bCs/>
          <w:sz w:val="22"/>
          <w:szCs w:val="22"/>
        </w:rPr>
        <w:t xml:space="preserve">Farma Východná </w:t>
      </w:r>
      <w:proofErr w:type="spellStart"/>
      <w:r w:rsidR="00F01551" w:rsidRPr="00F01551">
        <w:rPr>
          <w:rFonts w:ascii="Arial" w:hAnsi="Arial" w:cs="Arial"/>
          <w:b/>
          <w:bCs/>
          <w:sz w:val="22"/>
          <w:szCs w:val="22"/>
        </w:rPr>
        <w:t>p.d</w:t>
      </w:r>
      <w:proofErr w:type="spellEnd"/>
      <w:r w:rsidR="00F01551" w:rsidRPr="00F01551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5FBEF806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Sídlo :</w:t>
      </w:r>
      <w:r w:rsidR="00B00E09"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Východná 465, 032 32 Východná</w:t>
      </w:r>
    </w:p>
    <w:p w14:paraId="54E18446" w14:textId="5D2BD0F7" w:rsidR="00680EE6" w:rsidRPr="00F01551" w:rsidRDefault="00680EE6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Zapísaný: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 xml:space="preserve">v Obchodnom registri Okresného súdu Žilina, Oddiel: </w:t>
      </w:r>
      <w:proofErr w:type="spellStart"/>
      <w:r w:rsidR="00F01551" w:rsidRPr="00F01551">
        <w:rPr>
          <w:rFonts w:ascii="Arial" w:hAnsi="Arial" w:cs="Arial"/>
          <w:sz w:val="22"/>
          <w:szCs w:val="22"/>
        </w:rPr>
        <w:t>Dr</w:t>
      </w:r>
      <w:proofErr w:type="spellEnd"/>
      <w:r w:rsidR="00F01551" w:rsidRPr="00F01551">
        <w:rPr>
          <w:rFonts w:ascii="Arial" w:hAnsi="Arial" w:cs="Arial"/>
          <w:sz w:val="22"/>
          <w:szCs w:val="22"/>
        </w:rPr>
        <w:t>, Vložka číslo: 179/L</w:t>
      </w:r>
    </w:p>
    <w:p w14:paraId="516C314A" w14:textId="1E762BA0" w:rsidR="00F015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Zastúpený</w:t>
      </w:r>
      <w:r w:rsidR="0078300B" w:rsidRPr="00F01551">
        <w:rPr>
          <w:rFonts w:ascii="Arial" w:hAnsi="Arial" w:cs="Arial"/>
          <w:sz w:val="22"/>
          <w:szCs w:val="22"/>
        </w:rPr>
        <w:t>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="00F01551" w:rsidRPr="00F01551">
        <w:rPr>
          <w:rFonts w:ascii="Arial" w:hAnsi="Arial" w:cs="Arial"/>
          <w:sz w:val="22"/>
          <w:szCs w:val="22"/>
        </w:rPr>
        <w:t>Pelach</w:t>
      </w:r>
      <w:proofErr w:type="spellEnd"/>
      <w:r w:rsidR="00F01551" w:rsidRPr="00F01551">
        <w:rPr>
          <w:rFonts w:ascii="Arial" w:hAnsi="Arial" w:cs="Arial"/>
          <w:sz w:val="22"/>
          <w:szCs w:val="22"/>
        </w:rPr>
        <w:t>, predseda predstavenstva</w:t>
      </w:r>
    </w:p>
    <w:p w14:paraId="64AE2D94" w14:textId="499296DB" w:rsidR="00F01551" w:rsidRPr="00F01551" w:rsidRDefault="00F015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ab/>
        <w:t xml:space="preserve">Vladimír </w:t>
      </w:r>
      <w:proofErr w:type="spellStart"/>
      <w:r w:rsidRPr="00F01551">
        <w:rPr>
          <w:rFonts w:ascii="Arial" w:hAnsi="Arial" w:cs="Arial"/>
          <w:sz w:val="22"/>
          <w:szCs w:val="22"/>
        </w:rPr>
        <w:t>Kružliak</w:t>
      </w:r>
      <w:proofErr w:type="spellEnd"/>
      <w:r w:rsidRPr="00F01551">
        <w:rPr>
          <w:rFonts w:ascii="Arial" w:hAnsi="Arial" w:cs="Arial"/>
          <w:sz w:val="22"/>
          <w:szCs w:val="22"/>
        </w:rPr>
        <w:t>, člen predstavenstva</w:t>
      </w:r>
    </w:p>
    <w:p w14:paraId="14219A40" w14:textId="167BAE99" w:rsidR="00F015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 xml:space="preserve">IČO:  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00 195 812</w:t>
      </w:r>
    </w:p>
    <w:p w14:paraId="5157A8D4" w14:textId="18C181C0" w:rsidR="00E11051" w:rsidRPr="00F01551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>DIČ</w:t>
      </w:r>
      <w:r w:rsidR="0078300B" w:rsidRPr="00F01551">
        <w:rPr>
          <w:rFonts w:ascii="Arial" w:hAnsi="Arial" w:cs="Arial"/>
          <w:sz w:val="22"/>
          <w:szCs w:val="22"/>
        </w:rPr>
        <w:t>: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2020428333</w:t>
      </w:r>
    </w:p>
    <w:p w14:paraId="2AF4A702" w14:textId="02D7F14A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>IČ DPH:</w:t>
      </w:r>
      <w:r w:rsidR="00B00E09"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sz w:val="22"/>
          <w:szCs w:val="22"/>
        </w:rPr>
        <w:t>SK</w:t>
      </w:r>
      <w:r w:rsidR="00F01551" w:rsidRPr="00F01551">
        <w:rPr>
          <w:sz w:val="22"/>
          <w:szCs w:val="22"/>
        </w:rPr>
        <w:t xml:space="preserve"> </w:t>
      </w:r>
      <w:r w:rsidR="00F01551" w:rsidRPr="00F01551">
        <w:rPr>
          <w:rFonts w:ascii="Arial" w:hAnsi="Arial" w:cs="Arial"/>
          <w:sz w:val="22"/>
          <w:szCs w:val="22"/>
        </w:rPr>
        <w:t>2020428333</w:t>
      </w:r>
    </w:p>
    <w:p w14:paraId="06B7B0FA" w14:textId="44878A43" w:rsidR="00E11051" w:rsidRPr="00F01551" w:rsidRDefault="00E11051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sz w:val="22"/>
          <w:szCs w:val="22"/>
        </w:rPr>
        <w:t xml:space="preserve">IBAN: </w:t>
      </w:r>
      <w:r w:rsidRPr="00F01551">
        <w:rPr>
          <w:rFonts w:ascii="Arial" w:hAnsi="Arial" w:cs="Arial"/>
          <w:sz w:val="22"/>
          <w:szCs w:val="22"/>
        </w:rPr>
        <w:tab/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SK68 0900 0000 0003 3499 5263</w:t>
      </w:r>
    </w:p>
    <w:p w14:paraId="39D5AFB5" w14:textId="68FB4FC2" w:rsidR="00680EE6" w:rsidRPr="00F01551" w:rsidRDefault="00680EE6" w:rsidP="00E11051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Slovenská sporiteľňa, </w:t>
      </w:r>
      <w:proofErr w:type="spellStart"/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a.s</w:t>
      </w:r>
      <w:proofErr w:type="spellEnd"/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2A45023B" w14:textId="1CC759A4" w:rsidR="00F01551" w:rsidRPr="00F01551" w:rsidRDefault="00680EE6" w:rsidP="00F01551">
      <w:pPr>
        <w:tabs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="00F01551"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peter.pelach@farmavychodna.sk</w:t>
      </w:r>
    </w:p>
    <w:p w14:paraId="033F7700" w14:textId="2898880A" w:rsidR="00680EE6" w:rsidRPr="00F01551" w:rsidRDefault="00F01551" w:rsidP="00F015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Calibri" w:hAnsi="Calibri" w:cs="Calibri"/>
          <w:sz w:val="22"/>
          <w:szCs w:val="22"/>
        </w:rPr>
        <w:tab/>
      </w:r>
      <w:r w:rsidRPr="00F01551">
        <w:rPr>
          <w:rFonts w:ascii="Arial" w:hAnsi="Arial" w:cs="Arial"/>
          <w:color w:val="222222"/>
          <w:sz w:val="22"/>
          <w:szCs w:val="22"/>
          <w:shd w:val="clear" w:color="auto" w:fill="FFFFFF"/>
        </w:rPr>
        <w:t>+421 (0) 903 527 471</w:t>
      </w:r>
    </w:p>
    <w:p w14:paraId="500D119B" w14:textId="77777777" w:rsidR="00E11051" w:rsidRPr="00F015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01551">
        <w:rPr>
          <w:rFonts w:ascii="Arial" w:hAnsi="Arial" w:cs="Arial"/>
          <w:sz w:val="22"/>
          <w:szCs w:val="22"/>
        </w:rPr>
        <w:t xml:space="preserve">(ďalej ako </w:t>
      </w:r>
      <w:r w:rsidRPr="00F01551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F01551">
        <w:rPr>
          <w:rFonts w:ascii="Arial" w:hAnsi="Arial" w:cs="Arial"/>
          <w:sz w:val="22"/>
          <w:szCs w:val="22"/>
        </w:rPr>
        <w:t>“)</w:t>
      </w:r>
      <w:r w:rsidRPr="00F01551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5DCF681F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(kupujúci a predávajúci spoločne ako „zmluvné </w:t>
      </w:r>
      <w:proofErr w:type="spellStart"/>
      <w:r>
        <w:rPr>
          <w:rFonts w:ascii="Arial" w:hAnsi="Arial" w:cs="Arial"/>
          <w:sz w:val="22"/>
          <w:szCs w:val="22"/>
        </w:rPr>
        <w:t>straby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24DDF690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>Šmykom riadený nakladač</w:t>
      </w:r>
      <w:r w:rsidR="00CD1AFF">
        <w:rPr>
          <w:rFonts w:ascii="Arial" w:hAnsi="Arial" w:cs="Arial"/>
          <w:b/>
          <w:bCs/>
          <w:sz w:val="22"/>
          <w:szCs w:val="22"/>
        </w:rPr>
        <w:t xml:space="preserve"> </w:t>
      </w:r>
      <w:r w:rsidR="00CD1AFF" w:rsidRPr="00D51074">
        <w:rPr>
          <w:rFonts w:ascii="Calibri" w:hAnsi="Calibri" w:cs="Calibri"/>
          <w:b/>
        </w:rPr>
        <w:t>s lopatou na maštaľný hnoj a s hladkou lopatou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CD1AFF">
        <w:rPr>
          <w:rFonts w:ascii="Arial" w:hAnsi="Arial" w:cs="Arial"/>
          <w:b/>
          <w:bCs/>
          <w:sz w:val="22"/>
          <w:szCs w:val="22"/>
        </w:rPr>
        <w:t>08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>.</w:t>
      </w:r>
      <w:r w:rsidR="00CD1AFF">
        <w:rPr>
          <w:rFonts w:ascii="Arial" w:hAnsi="Arial" w:cs="Arial"/>
          <w:b/>
          <w:bCs/>
          <w:sz w:val="22"/>
          <w:szCs w:val="22"/>
        </w:rPr>
        <w:t>0</w:t>
      </w:r>
      <w:r w:rsidR="00F01551" w:rsidRPr="00F01551">
        <w:rPr>
          <w:rFonts w:ascii="Arial" w:hAnsi="Arial" w:cs="Arial"/>
          <w:b/>
          <w:bCs/>
          <w:sz w:val="22"/>
          <w:szCs w:val="22"/>
        </w:rPr>
        <w:t>1.202</w:t>
      </w:r>
      <w:r w:rsidR="00CD1AFF">
        <w:rPr>
          <w:rFonts w:ascii="Arial" w:hAnsi="Arial" w:cs="Arial"/>
          <w:b/>
          <w:bCs/>
          <w:sz w:val="22"/>
          <w:szCs w:val="22"/>
        </w:rPr>
        <w:t>5</w:t>
      </w:r>
      <w:r w:rsidRPr="0039193E">
        <w:rPr>
          <w:rFonts w:ascii="Arial" w:hAnsi="Arial" w:cs="Arial"/>
          <w:sz w:val="22"/>
          <w:szCs w:val="22"/>
        </w:rPr>
        <w:t>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68B3C08D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597CE25A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1C047C">
        <w:rPr>
          <w:rFonts w:ascii="Arial" w:hAnsi="Arial" w:cs="Arial"/>
          <w:sz w:val="22"/>
          <w:szCs w:val="22"/>
        </w:rPr>
        <w:t>Termín plnenia</w:t>
      </w:r>
      <w:r w:rsidRPr="00777EEE">
        <w:rPr>
          <w:rFonts w:ascii="Arial" w:hAnsi="Arial" w:cs="Arial"/>
          <w:sz w:val="22"/>
          <w:szCs w:val="22"/>
        </w:rPr>
        <w:t xml:space="preserve">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1C047C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047C" w:rsidRPr="001C047C">
        <w:rPr>
          <w:rFonts w:ascii="Arial" w:hAnsi="Arial" w:cs="Arial"/>
          <w:b/>
          <w:bCs/>
          <w:sz w:val="22"/>
          <w:szCs w:val="22"/>
        </w:rPr>
        <w:t>90</w:t>
      </w:r>
      <w:r w:rsidR="0078300B" w:rsidRPr="001C047C">
        <w:rPr>
          <w:rFonts w:ascii="Arial" w:hAnsi="Arial" w:cs="Arial"/>
          <w:b/>
          <w:bCs/>
          <w:sz w:val="22"/>
          <w:szCs w:val="22"/>
        </w:rPr>
        <w:t xml:space="preserve"> </w:t>
      </w:r>
      <w:r w:rsidR="00AC5405" w:rsidRPr="001C047C">
        <w:rPr>
          <w:rFonts w:ascii="Arial" w:hAnsi="Arial" w:cs="Arial"/>
          <w:b/>
          <w:bCs/>
          <w:sz w:val="22"/>
          <w:szCs w:val="22"/>
        </w:rPr>
        <w:t>dní</w:t>
      </w:r>
      <w:r w:rsidR="00395DA9" w:rsidRPr="001C047C">
        <w:rPr>
          <w:rFonts w:ascii="Arial" w:hAnsi="Arial" w:cs="Arial"/>
          <w:b/>
          <w:bCs/>
          <w:sz w:val="22"/>
          <w:szCs w:val="22"/>
        </w:rPr>
        <w:t xml:space="preserve"> od obdržania objednávky</w:t>
      </w:r>
      <w:r w:rsidR="00680EE6">
        <w:rPr>
          <w:rFonts w:ascii="Arial" w:hAnsi="Arial" w:cs="Arial"/>
          <w:sz w:val="22"/>
          <w:szCs w:val="22"/>
        </w:rPr>
        <w:t xml:space="preserve"> kupujúceho predávajúcim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4ED2C5F5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1C047C" w:rsidRPr="001C047C">
        <w:rPr>
          <w:rFonts w:ascii="Arial" w:hAnsi="Arial" w:cs="Arial"/>
          <w:b/>
          <w:bCs/>
          <w:sz w:val="22"/>
          <w:szCs w:val="22"/>
        </w:rPr>
        <w:t>Východná 465, 032 32 Východná</w:t>
      </w:r>
      <w:r w:rsidR="00F514A1">
        <w:rPr>
          <w:rFonts w:ascii="Arial" w:hAnsi="Arial" w:cs="Arial"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2FE6744F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CD1AF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0B5C2A0C" w:rsidR="001A1155" w:rsidRPr="001C047C" w:rsidRDefault="001C047C" w:rsidP="001C047C">
            <w:pPr>
              <w:pStyle w:val="Odsekzoznamu"/>
              <w:numPr>
                <w:ilvl w:val="0"/>
                <w:numId w:val="35"/>
              </w:numPr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Šmykom riadený nakladač s lopatou na maštaľný hnoj a s hladkou lopatou</w:t>
            </w:r>
          </w:p>
        </w:tc>
        <w:tc>
          <w:tcPr>
            <w:tcW w:w="1325" w:type="dxa"/>
            <w:vAlign w:val="center"/>
          </w:tcPr>
          <w:p w14:paraId="228F3C7D" w14:textId="357C02F1" w:rsidR="001A1155" w:rsidRPr="001C047C" w:rsidRDefault="001C047C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47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64D4F196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CD1AFF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659C4A84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CD1AFF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 w:rsidRPr="001C047C">
        <w:rPr>
          <w:rFonts w:ascii="Arial" w:hAnsi="Arial" w:cs="Arial"/>
          <w:b/>
          <w:sz w:val="22"/>
          <w:szCs w:val="22"/>
          <w:highlight w:val="yellow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40031BCB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</w:t>
      </w:r>
      <w:r w:rsidR="00B20EE3">
        <w:rPr>
          <w:rFonts w:ascii="Arial" w:hAnsi="Arial" w:cs="Arial"/>
          <w:sz w:val="22"/>
          <w:szCs w:val="22"/>
        </w:rPr>
        <w:t xml:space="preserve">faktúru na </w:t>
      </w:r>
      <w:r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</w:t>
      </w:r>
      <w:r w:rsidR="00B20EE3">
        <w:rPr>
          <w:rFonts w:ascii="Arial" w:hAnsi="Arial" w:cs="Arial"/>
          <w:sz w:val="22"/>
          <w:szCs w:val="22"/>
        </w:rPr>
        <w:lastRenderedPageBreak/>
        <w:t>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4A4BBA2C" w14:textId="791D4BC3" w:rsidR="00C142C4" w:rsidRPr="00CD1AFF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lastRenderedPageBreak/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lastRenderedPageBreak/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3E3CC861" w14:textId="1A44056F" w:rsidR="00C142C4" w:rsidRPr="001C047C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1218AE5D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1C047C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1C047C">
        <w:rPr>
          <w:rFonts w:ascii="Arial" w:hAnsi="Arial" w:cs="Arial"/>
          <w:sz w:val="22"/>
          <w:szCs w:val="22"/>
        </w:rPr>
        <w:t>o Východnej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5E8E1948" w14:textId="6A95EAA7" w:rsid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Peter </w:t>
      </w:r>
      <w:proofErr w:type="spellStart"/>
      <w:r>
        <w:rPr>
          <w:rFonts w:ascii="Arial" w:hAnsi="Arial" w:cs="Arial"/>
          <w:b/>
          <w:sz w:val="22"/>
          <w:szCs w:val="22"/>
        </w:rPr>
        <w:t>Pelach</w:t>
      </w:r>
      <w:proofErr w:type="spellEnd"/>
      <w:r>
        <w:rPr>
          <w:rFonts w:ascii="Arial" w:hAnsi="Arial" w:cs="Arial"/>
          <w:b/>
          <w:sz w:val="22"/>
          <w:szCs w:val="22"/>
        </w:rPr>
        <w:t>, predseda predstavenstva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</w:p>
    <w:p w14:paraId="20203A8F" w14:textId="77777777" w:rsidR="001C047C" w:rsidRDefault="001C047C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CB5495" w14:textId="77777777" w:rsidR="001C047C" w:rsidRDefault="001C047C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6468A639" w:rsid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Pr="001C047C">
        <w:rPr>
          <w:rFonts w:ascii="Arial" w:hAnsi="Arial" w:cs="Arial"/>
          <w:b/>
          <w:bCs/>
          <w:sz w:val="22"/>
          <w:szCs w:val="22"/>
        </w:rPr>
        <w:t xml:space="preserve">Vladimír </w:t>
      </w:r>
      <w:proofErr w:type="spellStart"/>
      <w:r w:rsidRPr="001C047C">
        <w:rPr>
          <w:rFonts w:ascii="Arial" w:hAnsi="Arial" w:cs="Arial"/>
          <w:b/>
          <w:bCs/>
          <w:sz w:val="22"/>
          <w:szCs w:val="22"/>
        </w:rPr>
        <w:t>Kružliak</w:t>
      </w:r>
      <w:proofErr w:type="spellEnd"/>
      <w:r w:rsidRPr="001C047C">
        <w:rPr>
          <w:rFonts w:ascii="Arial" w:hAnsi="Arial" w:cs="Arial"/>
          <w:b/>
          <w:bCs/>
          <w:sz w:val="22"/>
          <w:szCs w:val="22"/>
        </w:rPr>
        <w:t>, člen predstavenstva</w:t>
      </w:r>
      <w:r w:rsidR="00777EEE" w:rsidRPr="001C047C">
        <w:rPr>
          <w:rFonts w:ascii="Arial" w:hAnsi="Arial" w:cs="Arial"/>
          <w:b/>
          <w:bCs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</w:p>
    <w:p w14:paraId="1DBDCA4D" w14:textId="77777777" w:rsidR="001C047C" w:rsidRDefault="001C047C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382176" w14:textId="7E4C6E04" w:rsidR="00C142C4" w:rsidRPr="001C047C" w:rsidRDefault="001C047C" w:rsidP="001C047C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1C047C">
        <w:rPr>
          <w:rFonts w:ascii="Arial" w:hAnsi="Arial" w:cs="Arial"/>
          <w:b/>
          <w:bCs/>
          <w:sz w:val="22"/>
          <w:szCs w:val="22"/>
        </w:rPr>
        <w:lastRenderedPageBreak/>
        <w:t>Príloha č. 1</w:t>
      </w:r>
      <w:r w:rsidRPr="001C047C">
        <w:rPr>
          <w:rFonts w:ascii="Arial" w:hAnsi="Arial" w:cs="Arial"/>
          <w:sz w:val="22"/>
          <w:szCs w:val="22"/>
        </w:rPr>
        <w:t xml:space="preserve"> - </w:t>
      </w:r>
      <w:r w:rsidRPr="001C047C">
        <w:rPr>
          <w:rFonts w:ascii="Arial" w:hAnsi="Arial" w:cs="Arial"/>
          <w:color w:val="000000"/>
          <w:sz w:val="22"/>
          <w:szCs w:val="22"/>
        </w:rPr>
        <w:t xml:space="preserve">Špecifikácia predmetu </w:t>
      </w:r>
      <w:r>
        <w:rPr>
          <w:rFonts w:ascii="Arial" w:hAnsi="Arial" w:cs="Arial"/>
          <w:color w:val="000000"/>
          <w:sz w:val="22"/>
          <w:szCs w:val="22"/>
        </w:rPr>
        <w:t>zmluvy</w:t>
      </w:r>
    </w:p>
    <w:sectPr w:rsidR="00C142C4" w:rsidRPr="001C047C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2395" w14:textId="77777777" w:rsidR="00023F7A" w:rsidRDefault="00023F7A">
      <w:r>
        <w:separator/>
      </w:r>
    </w:p>
  </w:endnote>
  <w:endnote w:type="continuationSeparator" w:id="0">
    <w:p w14:paraId="35A776BC" w14:textId="77777777" w:rsidR="00023F7A" w:rsidRDefault="0002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4F86" w14:textId="77777777" w:rsidR="00023F7A" w:rsidRDefault="00023F7A">
      <w:r>
        <w:separator/>
      </w:r>
    </w:p>
  </w:footnote>
  <w:footnote w:type="continuationSeparator" w:id="0">
    <w:p w14:paraId="4FAA6ED1" w14:textId="77777777" w:rsidR="00023F7A" w:rsidRDefault="00023F7A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3F7A"/>
    <w:rsid w:val="00026B97"/>
    <w:rsid w:val="00032068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93688"/>
    <w:rsid w:val="001A1155"/>
    <w:rsid w:val="001C047C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162E0"/>
    <w:rsid w:val="00416DCF"/>
    <w:rsid w:val="00445904"/>
    <w:rsid w:val="00461CC9"/>
    <w:rsid w:val="004E513B"/>
    <w:rsid w:val="00526D9B"/>
    <w:rsid w:val="00540439"/>
    <w:rsid w:val="00591893"/>
    <w:rsid w:val="00593E77"/>
    <w:rsid w:val="00595D3F"/>
    <w:rsid w:val="00597EBF"/>
    <w:rsid w:val="00616088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B414C"/>
    <w:rsid w:val="00AC5405"/>
    <w:rsid w:val="00B00E09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D1AFF"/>
    <w:rsid w:val="00CE1D5E"/>
    <w:rsid w:val="00CE58D4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C5B35"/>
    <w:rsid w:val="00EF0AE7"/>
    <w:rsid w:val="00F01551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43</cp:revision>
  <cp:lastPrinted>2019-02-06T16:14:00Z</cp:lastPrinted>
  <dcterms:created xsi:type="dcterms:W3CDTF">2022-04-06T18:28:00Z</dcterms:created>
  <dcterms:modified xsi:type="dcterms:W3CDTF">2025-01-07T13:20:00Z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