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582EEB">
        <w:rPr>
          <w:b/>
        </w:rPr>
        <w:t>1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6E0F7D" w:rsidRPr="00003A3C" w:rsidRDefault="006E0F7D" w:rsidP="00003A3C">
      <w:pPr>
        <w:spacing w:after="0" w:line="259" w:lineRule="auto"/>
        <w:ind w:right="286"/>
        <w:jc w:val="left"/>
        <w:rPr>
          <w:b/>
          <w:sz w:val="24"/>
          <w:szCs w:val="24"/>
        </w:rPr>
      </w:pPr>
      <w:r w:rsidRPr="006E0F7D">
        <w:rPr>
          <w:b/>
        </w:rPr>
        <w:t>„</w:t>
      </w:r>
      <w:r w:rsidR="00003A3C" w:rsidRPr="00003A3C">
        <w:rPr>
          <w:b/>
          <w:sz w:val="24"/>
          <w:szCs w:val="24"/>
        </w:rPr>
        <w:t xml:space="preserve">DDaDSS SENIUM B. Bystrica – </w:t>
      </w:r>
      <w:bookmarkStart w:id="0" w:name="_GoBack"/>
      <w:bookmarkEnd w:id="0"/>
      <w:r w:rsidR="00003A3C" w:rsidRPr="00003A3C">
        <w:rPr>
          <w:b/>
          <w:sz w:val="24"/>
          <w:szCs w:val="24"/>
        </w:rPr>
        <w:t>rekonštrukcia objektu (rekonštrukcia oplotenia)</w:t>
      </w:r>
      <w:r w:rsidRPr="00003A3C">
        <w:rPr>
          <w:b/>
          <w:sz w:val="24"/>
          <w:szCs w:val="24"/>
        </w:rPr>
        <w:t xml:space="preserve">“ 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582EEB" w:rsidRDefault="00582EEB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Default="00582EEB" w:rsidP="00EE3112">
      <w:pPr>
        <w:ind w:left="2160" w:hanging="2160"/>
        <w:rPr>
          <w:rFonts w:asciiTheme="minorHAnsi" w:hAnsiTheme="minorHAnsi"/>
        </w:rPr>
      </w:pPr>
    </w:p>
    <w:p w:rsidR="00582EEB" w:rsidRPr="00EE3112" w:rsidRDefault="00582EEB" w:rsidP="00EE3112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A3C"/>
    <w:rsid w:val="0007498A"/>
    <w:rsid w:val="00131337"/>
    <w:rsid w:val="00240218"/>
    <w:rsid w:val="002B0E28"/>
    <w:rsid w:val="00352113"/>
    <w:rsid w:val="003D1771"/>
    <w:rsid w:val="00400009"/>
    <w:rsid w:val="004E5C51"/>
    <w:rsid w:val="00525925"/>
    <w:rsid w:val="00582EEB"/>
    <w:rsid w:val="005859BC"/>
    <w:rsid w:val="00673253"/>
    <w:rsid w:val="006A0615"/>
    <w:rsid w:val="006A50D3"/>
    <w:rsid w:val="006E0F7D"/>
    <w:rsid w:val="006F46FB"/>
    <w:rsid w:val="00724ED6"/>
    <w:rsid w:val="007C7209"/>
    <w:rsid w:val="00895C42"/>
    <w:rsid w:val="00A51AB0"/>
    <w:rsid w:val="00A615E4"/>
    <w:rsid w:val="00A776C6"/>
    <w:rsid w:val="00A9210D"/>
    <w:rsid w:val="00C9034A"/>
    <w:rsid w:val="00CA2943"/>
    <w:rsid w:val="00D834A3"/>
    <w:rsid w:val="00E8697C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2D16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nhideWhenUsed/>
    <w:qFormat/>
    <w:rsid w:val="00240218"/>
    <w:pPr>
      <w:keepNext/>
      <w:keepLines/>
      <w:numPr>
        <w:numId w:val="2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240218"/>
    <w:rPr>
      <w:rFonts w:ascii="Calibri" w:eastAsia="Calibri" w:hAnsi="Calibri" w:cs="Calibri"/>
      <w:b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3B02-778F-4B1B-BECC-49F6964B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Fulnečková Beáta</cp:lastModifiedBy>
  <cp:revision>2</cp:revision>
  <cp:lastPrinted>2018-04-25T10:52:00Z</cp:lastPrinted>
  <dcterms:created xsi:type="dcterms:W3CDTF">2018-06-05T08:02:00Z</dcterms:created>
  <dcterms:modified xsi:type="dcterms:W3CDTF">2018-06-05T08:02:00Z</dcterms:modified>
</cp:coreProperties>
</file>